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21,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264" w:type="dxa"/>
        <w:jc w:val="left"/>
        <w:tblInd w:w="0" w:type="dxa"/>
        <w:tblLayout w:type="fixed"/>
        <w:tblCellMar>
          <w:top w:w="28" w:type="dxa"/>
          <w:left w:w="28" w:type="dxa"/>
          <w:bottom w:w="28" w:type="dxa"/>
          <w:right w:w="28" w:type="dxa"/>
        </w:tblCellMar>
      </w:tblPr>
      <w:tblGrid>
        <w:gridCol w:w="348"/>
        <w:gridCol w:w="305"/>
        <w:gridCol w:w="307"/>
        <w:gridCol w:w="381"/>
        <w:gridCol w:w="381"/>
        <w:gridCol w:w="542"/>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21, 2026, TransDigm Group Incorporated (“TransDigm Group”) announced that its operating unit, Extant Aerospace, entered into a definitive agreement to acquire certain assets comprising a portfolio of commercial rotorcraft, land systems, and business jet products, including a facility located in California for approximately $240 million in cash (the “Acquisition”).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TransDigm Group does not typically disclose asset acquisitions by its operating units, TransDigm Group is disclosing the Acquisition based on the total value of the transaction. The Acquisition is expected to close during TransDigm Group’s fiscal year 2027, subject to standard regulatory approvals and the satisfaction of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65"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1387"/>
        <w:gridCol w:w="1387"/>
        <w:gridCol w:w="2041"/>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Chief Compliance Officer and Secretary</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21,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460</Words>
  <Characters>2644</Characters>
  <CharactersWithSpaces>3047</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