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SMALL ROBERT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BERKSHIRE PARTNERS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CLARENDON STREET, 35TH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6"/>
        <w:gridCol w:w="934"/>
        <w:gridCol w:w="801"/>
        <w:gridCol w:w="620"/>
        <w:gridCol w:w="349"/>
        <w:gridCol w:w="787"/>
        <w:gridCol w:w="438"/>
        <w:gridCol w:w="667"/>
        <w:gridCol w:w="1186"/>
        <w:gridCol w:w="993"/>
        <w:gridCol w:w="13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Trusts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366,142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Stockbridge Fund, L.P.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68,139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Stockbridge Partners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Amended to correct the carry-over balance. The reporting person beneficially owns 366,142 shares held by Stockbridge Fund LP, not 366,141 as previously reported.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/s/Rachel Quinlan, as attorney in fact for SMALL ROBERT J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4544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3366</Characters>
  <CharactersWithSpaces>3906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