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before="0" w:after="0"/>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center"/>
        <w:rPr>
          <w:rFonts w:ascii="Times New Roman;serif" w:hAnsi="Times New Roman;serif"/>
          <w:b/>
          <w:color w:val="000000"/>
          <w:sz w:val="32"/>
        </w:rPr>
      </w:pPr>
      <w:r>
        <w:rPr>
          <w:rFonts w:ascii="Times New Roman;serif" w:hAnsi="Times New Roman;serif"/>
          <w:b/>
          <w:color w:val="000000"/>
          <w:sz w:val="32"/>
        </w:rPr>
        <w:t>UNITED STATES</w:t>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SECURITIES AND EXCHANGE COMMISSION</w:t>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WASHINGTON, D.C. 20549</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60" w:after="283"/>
        <w:jc w:val="center"/>
        <w:rPr>
          <w:rFonts w:ascii="Times New Roman;serif" w:hAnsi="Times New Roman;serif"/>
          <w:b/>
          <w:color w:val="000000"/>
          <w:sz w:val="36"/>
        </w:rPr>
      </w:pPr>
      <w:r>
        <w:rPr>
          <w:rFonts w:ascii="Times New Roman;serif" w:hAnsi="Times New Roman;serif"/>
          <w:b/>
          <w:color w:val="000000"/>
          <w:sz w:val="36"/>
        </w:rPr>
        <w:t xml:space="preserve">FORM 8-K </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erif" w:hAnsi="Times New Roman;serif"/>
          <w:b/>
          <w:color w:val="000000"/>
          <w:sz w:val="22"/>
        </w:rPr>
      </w:pPr>
      <w:r>
        <w:rPr>
          <w:rFonts w:ascii="Times New Roman;serif" w:hAnsi="Times New Roman;serif"/>
          <w:b/>
          <w:color w:val="000000"/>
          <w:sz w:val="22"/>
        </w:rPr>
        <w:t>CURRENT REPORT</w:t>
      </w:r>
    </w:p>
    <w:p>
      <w:pPr>
        <w:pStyle w:val="TextBody"/>
        <w:bidi w:val="0"/>
        <w:spacing w:lineRule="auto" w:line="288" w:before="160" w:after="283"/>
        <w:jc w:val="center"/>
        <w:rPr>
          <w:rFonts w:ascii="Times New Roman;serif" w:hAnsi="Times New Roman;serif"/>
          <w:b/>
          <w:color w:val="000000"/>
          <w:sz w:val="22"/>
        </w:rPr>
      </w:pPr>
      <w:r>
        <w:rPr>
          <w:rFonts w:ascii="Times New Roman;serif" w:hAnsi="Times New Roman;serif"/>
          <w:b/>
          <w:color w:val="000000"/>
          <w:sz w:val="22"/>
        </w:rPr>
        <w:t>Pursuant to Section 13 or 15(d)</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of The Securities Exchange Act of 1934</w:t>
      </w:r>
    </w:p>
    <w:p>
      <w:pPr>
        <w:pStyle w:val="TextBody"/>
        <w:bidi w:val="0"/>
        <w:spacing w:lineRule="auto" w:line="288" w:before="180" w:after="120"/>
        <w:jc w:val="center"/>
        <w:rPr>
          <w:rFonts w:ascii="Times New Roman;serif" w:hAnsi="Times New Roman;serif"/>
          <w:b/>
          <w:color w:val="000000"/>
          <w:sz w:val="20"/>
        </w:rPr>
      </w:pPr>
      <w:r>
        <w:rPr>
          <w:rFonts w:ascii="Times New Roman;serif" w:hAnsi="Times New Roman;serif"/>
          <w:b/>
          <w:color w:val="000000"/>
          <w:sz w:val="20"/>
        </w:rPr>
        <w:t xml:space="preserve">Date of Report (Date of earliest event reported): September 14, 2026 </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pPr>
      <w:r>
        <w:rPr>
          <w:rFonts w:ascii="Times New Roman;serif" w:hAnsi="Times New Roman;serif"/>
          <w:b/>
          <w:color w:val="000000"/>
          <w:sz w:val="40"/>
        </w:rPr>
        <w:t>TransDigm Group Incorporated</w:t>
      </w:r>
      <w:r>
        <w:rPr>
          <w:color w:val="000000"/>
        </w:rPr>
        <w:t xml:space="preserve">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6000" w:type="dxa"/>
        <w:jc w:val="center"/>
        <w:tblInd w:w="0" w:type="dxa"/>
        <w:tblLayout w:type="fixed"/>
        <w:tblCellMar>
          <w:top w:w="28" w:type="dxa"/>
          <w:left w:w="28" w:type="dxa"/>
          <w:bottom w:w="28" w:type="dxa"/>
          <w:right w:w="28" w:type="dxa"/>
        </w:tblCellMar>
      </w:tblPr>
      <w:tblGrid>
        <w:gridCol w:w="124"/>
        <w:gridCol w:w="109"/>
        <w:gridCol w:w="109"/>
        <w:gridCol w:w="682"/>
        <w:gridCol w:w="682"/>
        <w:gridCol w:w="690"/>
        <w:gridCol w:w="109"/>
        <w:gridCol w:w="109"/>
        <w:gridCol w:w="109"/>
        <w:gridCol w:w="379"/>
        <w:gridCol w:w="379"/>
        <w:gridCol w:w="381"/>
        <w:gridCol w:w="109"/>
        <w:gridCol w:w="109"/>
        <w:gridCol w:w="109"/>
        <w:gridCol w:w="479"/>
        <w:gridCol w:w="479"/>
        <w:gridCol w:w="48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001-32833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41-2101738</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(State or other jurisdiction</w:t>
            </w:r>
          </w:p>
          <w:p>
            <w:pPr>
              <w:pStyle w:val="TableContents"/>
              <w:bidi w:val="0"/>
              <w:spacing w:lineRule="auto" w:line="288" w:before="0" w:after="20"/>
              <w:jc w:val="center"/>
              <w:rPr>
                <w:rFonts w:ascii="Times New Roman;serif" w:hAnsi="Times New Roman;serif"/>
                <w:b/>
                <w:color w:val="000000"/>
                <w:sz w:val="16"/>
              </w:rPr>
            </w:pPr>
            <w:r>
              <w:rPr>
                <w:rFonts w:ascii="Times New Roman;serif" w:hAnsi="Times New Roman;serif"/>
                <w:b/>
                <w:color w:val="000000"/>
                <w:sz w:val="16"/>
              </w:rPr>
              <w:t>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(Commission</w:t>
            </w:r>
          </w:p>
          <w:p>
            <w:pPr>
              <w:pStyle w:val="TableContents"/>
              <w:bidi w:val="0"/>
              <w:spacing w:lineRule="auto" w:line="288" w:before="0" w:after="20"/>
              <w:jc w:val="center"/>
              <w:rPr>
                <w:rFonts w:ascii="Times New Roman;serif" w:hAnsi="Times New Roman;serif"/>
                <w:b/>
                <w:color w:val="000000"/>
                <w:sz w:val="16"/>
              </w:rPr>
            </w:pPr>
            <w:r>
              <w:rPr>
                <w:rFonts w:ascii="Times New Roman;serif" w:hAnsi="Times New Roman;serif"/>
                <w:b/>
                <w:color w:val="000000"/>
                <w:sz w:val="16"/>
              </w:rPr>
              <w:t>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(IRS Employer</w:t>
            </w:r>
          </w:p>
          <w:p>
            <w:pPr>
              <w:pStyle w:val="TableContents"/>
              <w:bidi w:val="0"/>
              <w:spacing w:lineRule="auto" w:line="288" w:before="0" w:after="20"/>
              <w:jc w:val="center"/>
              <w:rPr>
                <w:rFonts w:ascii="Times New Roman;serif" w:hAnsi="Times New Roman;serif"/>
                <w:b/>
                <w:color w:val="000000"/>
                <w:sz w:val="16"/>
              </w:rPr>
            </w:pPr>
            <w:r>
              <w:rPr>
                <w:rFonts w:ascii="Times New Roman;serif" w:hAnsi="Times New Roman;serif"/>
                <w:b/>
                <w:color w:val="000000"/>
                <w:sz w:val="16"/>
              </w:rPr>
              <w:t>Identification No.)</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5800" w:type="dxa"/>
        <w:jc w:val="center"/>
        <w:tblInd w:w="0" w:type="dxa"/>
        <w:tblLayout w:type="fixed"/>
        <w:tblCellMar>
          <w:top w:w="28" w:type="dxa"/>
          <w:left w:w="28" w:type="dxa"/>
          <w:bottom w:w="28" w:type="dxa"/>
          <w:right w:w="28" w:type="dxa"/>
        </w:tblCellMar>
      </w:tblPr>
      <w:tblGrid>
        <w:gridCol w:w="674"/>
        <w:gridCol w:w="592"/>
        <w:gridCol w:w="594"/>
        <w:gridCol w:w="344"/>
        <w:gridCol w:w="344"/>
        <w:gridCol w:w="346"/>
        <w:gridCol w:w="334"/>
        <w:gridCol w:w="334"/>
        <w:gridCol w:w="336"/>
        <w:gridCol w:w="175"/>
        <w:gridCol w:w="175"/>
        <w:gridCol w:w="176"/>
        <w:gridCol w:w="109"/>
        <w:gridCol w:w="109"/>
        <w:gridCol w:w="109"/>
        <w:gridCol w:w="307"/>
        <w:gridCol w:w="307"/>
        <w:gridCol w:w="435"/>
      </w:tblGrid>
      <w:tr>
        <w:trPr/>
        <w:tc>
          <w:tcPr>
            <w:tcW w:w="674"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r>
      <w:tr>
        <w:trPr/>
        <w:tc>
          <w:tcPr>
            <w:tcW w:w="18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1350 Euclid Avenue,</w:t>
            </w:r>
          </w:p>
        </w:tc>
        <w:tc>
          <w:tcPr>
            <w:tcW w:w="10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Suite 1600,</w:t>
            </w:r>
          </w:p>
        </w:tc>
        <w:tc>
          <w:tcPr>
            <w:tcW w:w="10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Cleveland,</w:t>
            </w:r>
          </w:p>
        </w:tc>
        <w:tc>
          <w:tcPr>
            <w:tcW w:w="5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Ohio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44115</w:t>
            </w:r>
          </w:p>
        </w:tc>
      </w:tr>
      <w:tr>
        <w:trPr/>
        <w:tc>
          <w:tcPr>
            <w:tcW w:w="4424"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(Zip Code)</w:t>
            </w:r>
          </w:p>
        </w:tc>
      </w:tr>
    </w:tbl>
    <w:p>
      <w:pPr>
        <w:pStyle w:val="TextBody"/>
        <w:bidi w:val="0"/>
        <w:spacing w:lineRule="auto" w:line="288" w:before="160" w:after="283"/>
        <w:jc w:val="center"/>
        <w:rPr>
          <w:rFonts w:ascii="Times New Roman;serif" w:hAnsi="Times New Roman;serif"/>
          <w:b/>
          <w:color w:val="000000"/>
          <w:sz w:val="20"/>
        </w:rPr>
      </w:pPr>
      <w:r>
        <w:rPr>
          <w:rFonts w:ascii="Times New Roman;serif" w:hAnsi="Times New Roman;serif"/>
          <w:b/>
          <w:color w:val="000000"/>
          <w:sz w:val="20"/>
        </w:rPr>
        <w:t xml:space="preserve">(216) 706-2960 </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(Registrant’s telephone number, including area code)</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 Applicable</w:t>
      </w:r>
    </w:p>
    <w:p>
      <w:pPr>
        <w:pStyle w:val="TextBody"/>
        <w:bidi w:val="0"/>
        <w:spacing w:lineRule="auto" w:line="288" w:before="0" w:after="120"/>
        <w:jc w:val="center"/>
        <w:rPr>
          <w:rFonts w:ascii="Times New Roman;serif" w:hAnsi="Times New Roman;serif"/>
          <w:b/>
          <w:color w:val="000000"/>
          <w:sz w:val="16"/>
        </w:rPr>
      </w:pPr>
      <w:r>
        <w:rPr>
          <w:rFonts w:ascii="Times New Roman;serif" w:hAnsi="Times New Roman;serif"/>
          <w:b/>
          <w:color w:val="000000"/>
          <w:sz w:val="16"/>
        </w:rPr>
        <w:t>(Former name or former address, if changed since last report.)</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jc w:val="both"/>
        <w:rPr>
          <w:rFonts w:ascii="Times New Roman;serif" w:hAnsi="Times New Roman;serif"/>
          <w:b w:val="false"/>
          <w:color w:val="000000"/>
          <w:sz w:val="18"/>
        </w:rPr>
      </w:pPr>
      <w:r>
        <w:rPr>
          <w:rFonts w:ascii="Times New Roman;serif" w:hAnsi="Times New Roman;serif"/>
          <w:b w:val="false"/>
          <w:color w:val="000000"/>
          <w:sz w:val="18"/>
        </w:rPr>
        <w:t>Check the appropriate box below if the Form 8-K filing is intended to simultaneously satisfy the filing obligation of the registrant under any of the following provisions:</w:t>
      </w:r>
    </w:p>
    <w:tbl>
      <w:tblPr>
        <w:tblW w:w="6852" w:type="dxa"/>
        <w:jc w:val="center"/>
        <w:tblInd w:w="0" w:type="dxa"/>
        <w:tblLayout w:type="fixed"/>
        <w:tblCellMar>
          <w:top w:w="28" w:type="dxa"/>
          <w:left w:w="28" w:type="dxa"/>
          <w:bottom w:w="28" w:type="dxa"/>
          <w:right w:w="28" w:type="dxa"/>
        </w:tblCellMar>
      </w:tblPr>
      <w:tblGrid>
        <w:gridCol w:w="124"/>
        <w:gridCol w:w="109"/>
        <w:gridCol w:w="109"/>
        <w:gridCol w:w="1904"/>
        <w:gridCol w:w="1904"/>
        <w:gridCol w:w="270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04" w:type="dxa"/>
            <w:tcBorders/>
            <w:vAlign w:val="center"/>
          </w:tcPr>
          <w:p>
            <w:pPr>
              <w:pStyle w:val="TableContents"/>
              <w:bidi w:val="0"/>
              <w:spacing w:before="0" w:after="283"/>
              <w:jc w:val="left"/>
              <w:rPr>
                <w:sz w:val="4"/>
                <w:szCs w:val="4"/>
              </w:rPr>
            </w:pPr>
            <w:r>
              <w:rPr>
                <w:sz w:val="4"/>
                <w:szCs w:val="4"/>
              </w:rPr>
            </w:r>
          </w:p>
        </w:tc>
        <w:tc>
          <w:tcPr>
            <w:tcW w:w="1904" w:type="dxa"/>
            <w:tcBorders/>
            <w:vAlign w:val="center"/>
          </w:tcPr>
          <w:p>
            <w:pPr>
              <w:pStyle w:val="TableContents"/>
              <w:bidi w:val="0"/>
              <w:spacing w:before="0" w:after="283"/>
              <w:jc w:val="left"/>
              <w:rPr>
                <w:sz w:val="4"/>
                <w:szCs w:val="4"/>
              </w:rPr>
            </w:pPr>
            <w:r>
              <w:rPr>
                <w:sz w:val="4"/>
                <w:szCs w:val="4"/>
              </w:rPr>
            </w:r>
          </w:p>
        </w:tc>
        <w:tc>
          <w:tcPr>
            <w:tcW w:w="270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60"/>
              <w:jc w:val="both"/>
              <w:rPr>
                <w:color w:val="000000"/>
              </w:rPr>
            </w:pPr>
            <w:r>
              <w:rPr>
                <w:color w:val="000000"/>
              </w:rPr>
              <w:t>☐</w:t>
            </w:r>
          </w:p>
        </w:tc>
        <w:tc>
          <w:tcPr>
            <w:tcW w:w="651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Written communications pursuant to Rule 425 under the Securities Act (17 CFR 230.425)</w:t>
            </w:r>
          </w:p>
        </w:tc>
      </w:tr>
    </w:tbl>
    <w:tbl>
      <w:tblPr>
        <w:tblW w:w="6851" w:type="dxa"/>
        <w:jc w:val="center"/>
        <w:tblInd w:w="0" w:type="dxa"/>
        <w:tblLayout w:type="fixed"/>
        <w:tblCellMar>
          <w:top w:w="28" w:type="dxa"/>
          <w:left w:w="28" w:type="dxa"/>
          <w:bottom w:w="28" w:type="dxa"/>
          <w:right w:w="28" w:type="dxa"/>
        </w:tblCellMar>
      </w:tblPr>
      <w:tblGrid>
        <w:gridCol w:w="124"/>
        <w:gridCol w:w="109"/>
        <w:gridCol w:w="109"/>
        <w:gridCol w:w="1904"/>
        <w:gridCol w:w="1904"/>
        <w:gridCol w:w="270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04" w:type="dxa"/>
            <w:tcBorders/>
            <w:vAlign w:val="center"/>
          </w:tcPr>
          <w:p>
            <w:pPr>
              <w:pStyle w:val="TableContents"/>
              <w:bidi w:val="0"/>
              <w:spacing w:before="0" w:after="283"/>
              <w:jc w:val="left"/>
              <w:rPr>
                <w:sz w:val="4"/>
                <w:szCs w:val="4"/>
              </w:rPr>
            </w:pPr>
            <w:r>
              <w:rPr>
                <w:sz w:val="4"/>
                <w:szCs w:val="4"/>
              </w:rPr>
            </w:r>
          </w:p>
        </w:tc>
        <w:tc>
          <w:tcPr>
            <w:tcW w:w="1904" w:type="dxa"/>
            <w:tcBorders/>
            <w:vAlign w:val="center"/>
          </w:tcPr>
          <w:p>
            <w:pPr>
              <w:pStyle w:val="TableContents"/>
              <w:bidi w:val="0"/>
              <w:spacing w:before="0" w:after="283"/>
              <w:jc w:val="left"/>
              <w:rPr>
                <w:sz w:val="4"/>
                <w:szCs w:val="4"/>
              </w:rPr>
            </w:pPr>
            <w:r>
              <w:rPr>
                <w:sz w:val="4"/>
                <w:szCs w:val="4"/>
              </w:rPr>
            </w:r>
          </w:p>
        </w:tc>
        <w:tc>
          <w:tcPr>
            <w:tcW w:w="270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60"/>
              <w:jc w:val="both"/>
              <w:rPr>
                <w:color w:val="000000"/>
              </w:rPr>
            </w:pPr>
            <w:r>
              <w:rPr>
                <w:color w:val="000000"/>
              </w:rPr>
              <w:t>☐</w:t>
            </w:r>
          </w:p>
        </w:tc>
        <w:tc>
          <w:tcPr>
            <w:tcW w:w="650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Soliciting material pursuant to Rule 14a-12 under the Exchange Act (17 CFR 240.14a-12)</w:t>
            </w:r>
          </w:p>
        </w:tc>
      </w:tr>
    </w:tbl>
    <w:tbl>
      <w:tblPr>
        <w:tblW w:w="8442" w:type="dxa"/>
        <w:jc w:val="center"/>
        <w:tblInd w:w="0" w:type="dxa"/>
        <w:tblLayout w:type="fixed"/>
        <w:tblCellMar>
          <w:top w:w="28" w:type="dxa"/>
          <w:left w:w="28" w:type="dxa"/>
          <w:bottom w:w="28" w:type="dxa"/>
          <w:right w:w="28" w:type="dxa"/>
        </w:tblCellMar>
      </w:tblPr>
      <w:tblGrid>
        <w:gridCol w:w="124"/>
        <w:gridCol w:w="109"/>
        <w:gridCol w:w="109"/>
        <w:gridCol w:w="2368"/>
        <w:gridCol w:w="2368"/>
        <w:gridCol w:w="336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8" w:type="dxa"/>
            <w:tcBorders/>
            <w:vAlign w:val="center"/>
          </w:tcPr>
          <w:p>
            <w:pPr>
              <w:pStyle w:val="TableContents"/>
              <w:bidi w:val="0"/>
              <w:spacing w:before="0" w:after="283"/>
              <w:jc w:val="left"/>
              <w:rPr>
                <w:sz w:val="4"/>
                <w:szCs w:val="4"/>
              </w:rPr>
            </w:pPr>
            <w:r>
              <w:rPr>
                <w:sz w:val="4"/>
                <w:szCs w:val="4"/>
              </w:rPr>
            </w:r>
          </w:p>
        </w:tc>
        <w:tc>
          <w:tcPr>
            <w:tcW w:w="2368" w:type="dxa"/>
            <w:tcBorders/>
            <w:vAlign w:val="center"/>
          </w:tcPr>
          <w:p>
            <w:pPr>
              <w:pStyle w:val="TableContents"/>
              <w:bidi w:val="0"/>
              <w:spacing w:before="0" w:after="283"/>
              <w:jc w:val="left"/>
              <w:rPr>
                <w:sz w:val="4"/>
                <w:szCs w:val="4"/>
              </w:rPr>
            </w:pPr>
            <w:r>
              <w:rPr>
                <w:sz w:val="4"/>
                <w:szCs w:val="4"/>
              </w:rPr>
            </w:r>
          </w:p>
        </w:tc>
        <w:tc>
          <w:tcPr>
            <w:tcW w:w="336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60"/>
              <w:jc w:val="both"/>
              <w:rPr>
                <w:color w:val="000000"/>
              </w:rPr>
            </w:pPr>
            <w:r>
              <w:rPr>
                <w:color w:val="000000"/>
              </w:rPr>
              <w:t>☐</w:t>
            </w:r>
          </w:p>
        </w:tc>
        <w:tc>
          <w:tcPr>
            <w:tcW w:w="810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Pre-commencement communications pursuant to Rule 14d-2(b) under the Exchange Act (17 CFR 240.14d-2(b))</w:t>
            </w:r>
          </w:p>
        </w:tc>
      </w:tr>
    </w:tbl>
    <w:tbl>
      <w:tblPr>
        <w:tblW w:w="8381" w:type="dxa"/>
        <w:jc w:val="center"/>
        <w:tblInd w:w="0" w:type="dxa"/>
        <w:tblLayout w:type="fixed"/>
        <w:tblCellMar>
          <w:top w:w="28" w:type="dxa"/>
          <w:left w:w="28" w:type="dxa"/>
          <w:bottom w:w="28" w:type="dxa"/>
          <w:right w:w="28" w:type="dxa"/>
        </w:tblCellMar>
      </w:tblPr>
      <w:tblGrid>
        <w:gridCol w:w="124"/>
        <w:gridCol w:w="109"/>
        <w:gridCol w:w="109"/>
        <w:gridCol w:w="2350"/>
        <w:gridCol w:w="2350"/>
        <w:gridCol w:w="333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0" w:type="dxa"/>
            <w:tcBorders/>
            <w:vAlign w:val="center"/>
          </w:tcPr>
          <w:p>
            <w:pPr>
              <w:pStyle w:val="TableContents"/>
              <w:bidi w:val="0"/>
              <w:spacing w:before="0" w:after="283"/>
              <w:jc w:val="left"/>
              <w:rPr>
                <w:sz w:val="4"/>
                <w:szCs w:val="4"/>
              </w:rPr>
            </w:pPr>
            <w:r>
              <w:rPr>
                <w:sz w:val="4"/>
                <w:szCs w:val="4"/>
              </w:rPr>
            </w:r>
          </w:p>
        </w:tc>
        <w:tc>
          <w:tcPr>
            <w:tcW w:w="2350" w:type="dxa"/>
            <w:tcBorders/>
            <w:vAlign w:val="center"/>
          </w:tcPr>
          <w:p>
            <w:pPr>
              <w:pStyle w:val="TableContents"/>
              <w:bidi w:val="0"/>
              <w:spacing w:before="0" w:after="283"/>
              <w:jc w:val="left"/>
              <w:rPr>
                <w:sz w:val="4"/>
                <w:szCs w:val="4"/>
              </w:rPr>
            </w:pPr>
            <w:r>
              <w:rPr>
                <w:sz w:val="4"/>
                <w:szCs w:val="4"/>
              </w:rPr>
            </w:r>
          </w:p>
        </w:tc>
        <w:tc>
          <w:tcPr>
            <w:tcW w:w="333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60"/>
              <w:jc w:val="both"/>
              <w:rPr>
                <w:color w:val="000000"/>
              </w:rPr>
            </w:pPr>
            <w:r>
              <w:rPr>
                <w:color w:val="000000"/>
              </w:rPr>
              <w:t>☐</w:t>
            </w:r>
          </w:p>
        </w:tc>
        <w:tc>
          <w:tcPr>
            <w:tcW w:w="803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Pre-commencement communications pursuant to Rule 13e-4(c) under the Exchange Act (17 CFR 240.13e-4(c))</w:t>
            </w:r>
          </w:p>
        </w:tc>
      </w:tr>
    </w:tbl>
    <w:p>
      <w:pPr>
        <w:pStyle w:val="TextBody"/>
        <w:bidi w:val="0"/>
        <w:spacing w:lineRule="auto" w:line="288" w:before="100" w:after="283"/>
        <w:jc w:val="both"/>
        <w:rPr>
          <w:rFonts w:ascii="Times New Roman;serif" w:hAnsi="Times New Roman;serif"/>
          <w:b w:val="false"/>
          <w:color w:val="000000"/>
          <w:sz w:val="18"/>
        </w:rPr>
      </w:pPr>
      <w:r>
        <w:rPr>
          <w:rFonts w:ascii="Times New Roman;serif" w:hAnsi="Times New Roman;serif"/>
          <w:b w:val="false"/>
          <w:color w:val="000000"/>
          <w:sz w:val="18"/>
        </w:rPr>
        <w:t>Securities registered pursuant to Section 12(b) of the Act:</w:t>
      </w:r>
    </w:p>
    <w:tbl>
      <w:tblPr>
        <w:tblW w:w="8511" w:type="dxa"/>
        <w:jc w:val="center"/>
        <w:tblInd w:w="0" w:type="dxa"/>
        <w:tblLayout w:type="fixed"/>
        <w:tblCellMar>
          <w:top w:w="28" w:type="dxa"/>
          <w:left w:w="28" w:type="dxa"/>
          <w:bottom w:w="28" w:type="dxa"/>
          <w:right w:w="28" w:type="dxa"/>
        </w:tblCellMar>
      </w:tblPr>
      <w:tblGrid>
        <w:gridCol w:w="872"/>
        <w:gridCol w:w="766"/>
        <w:gridCol w:w="776"/>
        <w:gridCol w:w="109"/>
        <w:gridCol w:w="109"/>
        <w:gridCol w:w="109"/>
        <w:gridCol w:w="519"/>
        <w:gridCol w:w="519"/>
        <w:gridCol w:w="521"/>
        <w:gridCol w:w="109"/>
        <w:gridCol w:w="109"/>
        <w:gridCol w:w="109"/>
        <w:gridCol w:w="1135"/>
        <w:gridCol w:w="1135"/>
        <w:gridCol w:w="1614"/>
      </w:tblGrid>
      <w:tr>
        <w:trPr/>
        <w:tc>
          <w:tcPr>
            <w:tcW w:w="872"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5" w:type="dxa"/>
            <w:tcBorders/>
            <w:vAlign w:val="center"/>
          </w:tcPr>
          <w:p>
            <w:pPr>
              <w:pStyle w:val="TableContents"/>
              <w:bidi w:val="0"/>
              <w:spacing w:before="0" w:after="283"/>
              <w:jc w:val="left"/>
              <w:rPr>
                <w:sz w:val="4"/>
                <w:szCs w:val="4"/>
              </w:rPr>
            </w:pPr>
            <w:r>
              <w:rPr>
                <w:sz w:val="4"/>
                <w:szCs w:val="4"/>
              </w:rPr>
            </w:r>
          </w:p>
        </w:tc>
        <w:tc>
          <w:tcPr>
            <w:tcW w:w="1135" w:type="dxa"/>
            <w:tcBorders/>
            <w:vAlign w:val="center"/>
          </w:tcPr>
          <w:p>
            <w:pPr>
              <w:pStyle w:val="TableContents"/>
              <w:bidi w:val="0"/>
              <w:spacing w:before="0" w:after="283"/>
              <w:jc w:val="left"/>
              <w:rPr>
                <w:sz w:val="4"/>
                <w:szCs w:val="4"/>
              </w:rPr>
            </w:pPr>
            <w:r>
              <w:rPr>
                <w:sz w:val="4"/>
                <w:szCs w:val="4"/>
              </w:rPr>
            </w:r>
          </w:p>
        </w:tc>
        <w:tc>
          <w:tcPr>
            <w:tcW w:w="1614" w:type="dxa"/>
            <w:tcBorders/>
            <w:vAlign w:val="center"/>
          </w:tcPr>
          <w:p>
            <w:pPr>
              <w:pStyle w:val="TableContents"/>
              <w:bidi w:val="0"/>
              <w:spacing w:before="0" w:after="283"/>
              <w:jc w:val="left"/>
              <w:rPr>
                <w:sz w:val="4"/>
                <w:szCs w:val="4"/>
              </w:rPr>
            </w:pPr>
            <w:r>
              <w:rPr>
                <w:sz w:val="4"/>
                <w:szCs w:val="4"/>
              </w:rPr>
            </w:r>
          </w:p>
        </w:tc>
      </w:tr>
      <w:tr>
        <w:trPr/>
        <w:tc>
          <w:tcPr>
            <w:tcW w:w="24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Trading Symbol: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Name of each exchange on which registered:</w:t>
            </w:r>
          </w:p>
        </w:tc>
      </w:tr>
      <w:tr>
        <w:trPr/>
        <w:tc>
          <w:tcPr>
            <w:tcW w:w="24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Common Stock, $0.01 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TDG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New York Stock Exchange</w:t>
            </w:r>
          </w:p>
        </w:tc>
      </w:tr>
    </w:tbl>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 xml:space="preserve">Indicate by check mark whether the registrant is an emerging growth company as defined in Rule 405 of the Securities Act of 1933 (§230.405 of this chapter) or Rule 12b-2 of the Securities Exchange Act of 1934 (§240.12b-2 of this chapter). </w:t>
      </w:r>
    </w:p>
    <w:p>
      <w:pPr>
        <w:pStyle w:val="TextBody"/>
        <w:bidi w:val="0"/>
        <w:spacing w:lineRule="auto" w:line="288" w:before="60" w:after="100"/>
        <w:jc w:val="both"/>
        <w:rPr/>
      </w:pPr>
      <w:r>
        <w:rPr>
          <w:rFonts w:ascii="Times New Roman;serif" w:hAnsi="Times New Roman;serif"/>
          <w:b w:val="false"/>
          <w:color w:val="000000"/>
          <w:sz w:val="18"/>
        </w:rPr>
        <w:t xml:space="preserve">Emerging Growth Company </w:t>
      </w:r>
      <w:r>
        <w:rPr>
          <w:color w:val="000000"/>
        </w:rPr>
        <w:t xml:space="preserve">☐ </w:t>
      </w:r>
    </w:p>
    <w:p>
      <w:pPr>
        <w:pStyle w:val="TextBody"/>
        <w:bidi w:val="0"/>
        <w:spacing w:lineRule="auto" w:line="288" w:before="60" w:after="180"/>
        <w:jc w:val="both"/>
        <w:rPr/>
      </w:pPr>
      <w:r>
        <w:rPr>
          <w:rFonts w:ascii="Times New Roman;serif" w:hAnsi="Times New Roman;serif"/>
          <w:b w:val="false"/>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3314" w:type="dxa"/>
        <w:jc w:val="left"/>
        <w:tblInd w:w="0" w:type="dxa"/>
        <w:tblLayout w:type="fixed"/>
        <w:tblCellMar>
          <w:top w:w="28" w:type="dxa"/>
          <w:left w:w="28" w:type="dxa"/>
          <w:bottom w:w="28" w:type="dxa"/>
          <w:right w:w="28" w:type="dxa"/>
        </w:tblCellMar>
      </w:tblPr>
      <w:tblGrid>
        <w:gridCol w:w="348"/>
        <w:gridCol w:w="305"/>
        <w:gridCol w:w="307"/>
        <w:gridCol w:w="688"/>
        <w:gridCol w:w="688"/>
        <w:gridCol w:w="978"/>
      </w:tblGrid>
      <w:tr>
        <w:trPr/>
        <w:tc>
          <w:tcPr>
            <w:tcW w:w="348"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r>
      <w:tr>
        <w:trPr/>
        <w:tc>
          <w:tcPr>
            <w:tcW w:w="9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7.01.</w:t>
            </w:r>
          </w:p>
        </w:tc>
        <w:tc>
          <w:tcPr>
            <w:tcW w:w="235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20"/>
              </w:rPr>
            </w:pPr>
            <w:r>
              <w:rPr>
                <w:rFonts w:ascii="Times New Roman;serif" w:hAnsi="Times New Roman;serif"/>
                <w:b/>
                <w:color w:val="000000"/>
                <w:sz w:val="20"/>
              </w:rPr>
              <w:t>Regulation FD Disclosure.</w:t>
            </w:r>
          </w:p>
        </w:tc>
      </w:tr>
    </w:tbl>
    <w:p>
      <w:pPr>
        <w:pStyle w:val="TextBody"/>
        <w:bidi w:val="0"/>
        <w:spacing w:lineRule="auto" w:line="288" w:before="140" w:after="283"/>
        <w:ind w:left="0" w:right="0" w:firstLine="540"/>
        <w:jc w:val="both"/>
        <w:rPr>
          <w:rFonts w:ascii="Times New Roman;serif" w:hAnsi="Times New Roman;serif"/>
          <w:b/>
          <w:i/>
          <w:color w:val="000000"/>
          <w:sz w:val="20"/>
        </w:rPr>
      </w:pPr>
      <w:r>
        <w:rPr>
          <w:rFonts w:ascii="Times New Roman;serif" w:hAnsi="Times New Roman;serif"/>
          <w:b/>
          <w:i/>
          <w:color w:val="000000"/>
          <w:sz w:val="20"/>
        </w:rPr>
        <w:t>Cash Tender Offer for Any and All 6.75% Senior Secured Notes due 2028 of TransDigm Inc.</w:t>
      </w:r>
    </w:p>
    <w:p>
      <w:pPr>
        <w:pStyle w:val="TextBody"/>
        <w:bidi w:val="0"/>
        <w:spacing w:lineRule="auto" w:line="288" w:before="120" w:after="283"/>
        <w:ind w:left="0" w:right="0" w:firstLine="396"/>
        <w:jc w:val="both"/>
        <w:rPr>
          <w:rFonts w:ascii="Times New Roman;serif" w:hAnsi="Times New Roman;serif"/>
          <w:b w:val="false"/>
          <w:color w:val="000000"/>
          <w:sz w:val="20"/>
        </w:rPr>
      </w:pPr>
      <w:r>
        <w:rPr>
          <w:rFonts w:ascii="Times New Roman;serif" w:hAnsi="Times New Roman;serif"/>
          <w:b w:val="false"/>
          <w:color w:val="000000"/>
          <w:sz w:val="20"/>
        </w:rPr>
        <w:t>On September 14, 2026, TransDigm Group Incorporated (“TransDigm Group”), announced that its wholly-owned subsidiary, TransDigm Inc. has commenced a cash tender offer (the “Offer”) for any and all of its outstanding 6.75% Senior Secured Notes due 2028 (the “Notes”). The Offer is being made on the terms and subject to the conditions set forth in the Offer to Purchase dated September 14, 2026 (the “Offer to Purchase”).</w:t>
      </w:r>
    </w:p>
    <w:p>
      <w:pPr>
        <w:pStyle w:val="TextBody"/>
        <w:bidi w:val="0"/>
        <w:spacing w:lineRule="auto" w:line="288" w:before="120" w:after="283"/>
        <w:ind w:left="0" w:right="0" w:firstLine="396"/>
        <w:jc w:val="both"/>
        <w:rPr>
          <w:rFonts w:ascii="Times New Roman;serif" w:hAnsi="Times New Roman;serif"/>
          <w:b w:val="false"/>
          <w:color w:val="000000"/>
          <w:sz w:val="20"/>
        </w:rPr>
      </w:pPr>
      <w:r>
        <w:rPr>
          <w:rFonts w:ascii="Times New Roman;serif" w:hAnsi="Times New Roman;serif"/>
          <w:b w:val="false"/>
          <w:color w:val="000000"/>
          <w:sz w:val="20"/>
        </w:rPr>
        <w:t>The Offer will expire at 5:00 P.M., EDT, on October 13, 2026, unless extended at TransDigm Group’s sole discretion (the “Expiration Time”). Holders of Notes (the “Holders”) must tender their Notes on or before 5:00 P.M., EDT, on September 25, 2026, unless extended (the “Early Tender Deadline”), in order to receive the Total Consideration (as defined below). Holders of Notes who tender their Notes after the Early Tender Deadline will only receive the Tender Offer Consideration (as defined below).</w:t>
      </w:r>
    </w:p>
    <w:p>
      <w:pPr>
        <w:pStyle w:val="TextBody"/>
        <w:bidi w:val="0"/>
        <w:spacing w:lineRule="auto" w:line="288" w:before="120" w:after="283"/>
        <w:ind w:left="0" w:right="0" w:firstLine="396"/>
        <w:jc w:val="both"/>
        <w:rPr>
          <w:rFonts w:ascii="Times New Roman;serif" w:hAnsi="Times New Roman;serif"/>
          <w:b w:val="false"/>
          <w:color w:val="000000"/>
          <w:sz w:val="20"/>
        </w:rPr>
      </w:pPr>
      <w:r>
        <w:rPr>
          <w:rFonts w:ascii="Times New Roman;serif" w:hAnsi="Times New Roman;serif"/>
          <w:b w:val="false"/>
          <w:color w:val="000000"/>
          <w:sz w:val="20"/>
        </w:rPr>
        <w:t>For each $1,000 principal amount of Notes validly tendered, and not validly withdrawn, the “Total Consideration” is an amount equal to $1,008.00 and the “Tender Offer Consideration” is an amount equal to $978.00. The Tender Offer Consideration is the Total Consideration minus the Early Tender Premium. The “Early Tender Premium” is an amount equal to $30.00 per $1,000 principal amount of Notes and will be payable only with respect to each Note that is validly tendered and not revoked on or before the Early Tender Deadline. The Holders who validly tender, and do not validly withdraw, their Notes will also receive accrued and unpaid interest from the most recent interest payment date for the Notes to, but excluding, the applicable payment date.</w:t>
      </w:r>
    </w:p>
    <w:p>
      <w:pPr>
        <w:pStyle w:val="TextBody"/>
        <w:bidi w:val="0"/>
        <w:spacing w:lineRule="auto" w:line="288" w:before="120" w:after="283"/>
        <w:ind w:left="0" w:right="0" w:firstLine="396"/>
        <w:jc w:val="both"/>
        <w:rPr>
          <w:rFonts w:ascii="Times New Roman;serif" w:hAnsi="Times New Roman;serif"/>
          <w:b w:val="false"/>
          <w:color w:val="000000"/>
          <w:sz w:val="20"/>
        </w:rPr>
      </w:pPr>
      <w:r>
        <w:rPr>
          <w:rFonts w:ascii="Times New Roman;serif" w:hAnsi="Times New Roman;serif"/>
          <w:b w:val="false"/>
          <w:color w:val="000000"/>
          <w:sz w:val="20"/>
        </w:rPr>
        <w:t>The Offer is subject to the satisfaction or waiver of certain conditions as described in the Offer to Purchase, including the satisfaction of the Refinancing Condition (as defined in the Offer to Purchase).</w:t>
      </w:r>
    </w:p>
    <w:p>
      <w:pPr>
        <w:pStyle w:val="TextBody"/>
        <w:bidi w:val="0"/>
        <w:spacing w:lineRule="auto" w:line="288" w:before="120" w:after="283"/>
        <w:ind w:left="0" w:right="0" w:firstLine="396"/>
        <w:jc w:val="both"/>
        <w:rPr>
          <w:rFonts w:ascii="Times New Roman;serif" w:hAnsi="Times New Roman;serif"/>
          <w:b w:val="false"/>
          <w:color w:val="000000"/>
          <w:sz w:val="20"/>
        </w:rPr>
      </w:pPr>
      <w:r>
        <w:rPr>
          <w:rFonts w:ascii="Times New Roman;serif" w:hAnsi="Times New Roman;serif"/>
          <w:b w:val="false"/>
          <w:color w:val="000000"/>
          <w:sz w:val="20"/>
        </w:rPr>
        <w:t>Notes tendered pursuant to the tender offer may be validly withdrawn at any time prior to the Early Tender Deadline, but not after the Early Tender Deadline, and Notes tendered on or after the Early Tender Deadline may not be withdrawn, unless, in either case, TransDigm Group is otherwise required by applicable law to permit the withdrawal.</w:t>
      </w:r>
    </w:p>
    <w:p>
      <w:pPr>
        <w:pStyle w:val="TextBody"/>
        <w:bidi w:val="0"/>
        <w:spacing w:lineRule="auto" w:line="288" w:before="120" w:after="283"/>
        <w:ind w:left="0" w:right="0" w:firstLine="396"/>
        <w:jc w:val="both"/>
        <w:rPr>
          <w:rFonts w:ascii="Times New Roman;serif" w:hAnsi="Times New Roman;serif"/>
          <w:b w:val="false"/>
          <w:color w:val="000000"/>
          <w:sz w:val="20"/>
        </w:rPr>
      </w:pPr>
      <w:r>
        <w:rPr>
          <w:rFonts w:ascii="Times New Roman;serif" w:hAnsi="Times New Roman;serif"/>
          <w:b w:val="false"/>
          <w:color w:val="000000"/>
          <w:sz w:val="20"/>
        </w:rPr>
        <w:t>The CUSIP numbers for the Notes are as follows: Rule 144A CUSIP No. 893647 BR7 / ISIN US893647BR70; Permanent Regulation S CUSIP No. U8936P AX1 / ISIN USU8936PAX16; and Temporary Regulation S CUSIP No. U8936P AY9. No representation is made as to the correctness or accuracy of the CUSIP numbers listed in this Current Report on Form 8-K or printed on the Notes.</w:t>
      </w:r>
    </w:p>
    <w:p>
      <w:pPr>
        <w:pStyle w:val="TextBody"/>
        <w:bidi w:val="0"/>
        <w:spacing w:lineRule="auto" w:line="288" w:before="120" w:after="283"/>
        <w:ind w:left="0" w:right="0" w:firstLine="396"/>
        <w:jc w:val="both"/>
        <w:rPr>
          <w:rFonts w:ascii="Times New Roman;serif" w:hAnsi="Times New Roman;serif"/>
          <w:b w:val="false"/>
          <w:color w:val="000000"/>
          <w:sz w:val="20"/>
        </w:rPr>
      </w:pPr>
      <w:r>
        <w:rPr>
          <w:rFonts w:ascii="Times New Roman;serif" w:hAnsi="Times New Roman;serif"/>
          <w:b w:val="false"/>
          <w:color w:val="000000"/>
          <w:sz w:val="20"/>
        </w:rPr>
        <w:t xml:space="preserve">TransDigm Group has engaged Morgan Stanley &amp; Co. LLC as the Sole Dealer Manager for the tender offer. Persons with questions regarding the tender offer should contact Morgan Stanley &amp; Co. LLC at (800) 624-1808 (toll-free) or (212) 761-1057 or by email at LMNY@morganstanley.com. Requests for documents should be directed to D.F. King &amp; Co., Inc., the Tender and Information Agent and Depositary for the tender offer, by phone at (646) 582-2898 (banks and brokers) or (866) 796-1290 (all others) or by email at TDG@dfking.com. </w:t>
      </w:r>
    </w:p>
    <w:p>
      <w:pPr>
        <w:pStyle w:val="TextBody"/>
        <w:bidi w:val="0"/>
        <w:spacing w:lineRule="auto" w:line="288" w:before="120" w:after="283"/>
        <w:ind w:left="0" w:right="0" w:firstLine="396"/>
        <w:jc w:val="both"/>
        <w:rPr>
          <w:rFonts w:ascii="Times New Roman;serif" w:hAnsi="Times New Roman;serif"/>
          <w:b w:val="false"/>
          <w:color w:val="000000"/>
          <w:sz w:val="20"/>
        </w:rPr>
      </w:pPr>
      <w:r>
        <w:rPr>
          <w:rFonts w:ascii="Times New Roman;serif" w:hAnsi="Times New Roman;serif"/>
          <w:b w:val="false"/>
          <w:color w:val="000000"/>
          <w:sz w:val="20"/>
        </w:rPr>
        <w:t>This Current Report on Form 8-K is for information purposes only and is not an offer to purchase or a solicitation of acceptance of the offer to purchase with respect to any of the Notes. The Offer is being made pursuant to the tender offer documents, including the Offer to Purchase, which TransDigm Group is distributing to holders of Notes. The Offer is not being made to holders of Notes in any jurisdiction in which the making or acceptance thereof would not be in compliance with the securities, blue sky or other laws of such jurisdiction.</w:t>
      </w:r>
    </w:p>
    <w:p>
      <w:pPr>
        <w:pStyle w:val="TextBody"/>
        <w:bidi w:val="0"/>
        <w:spacing w:lineRule="auto" w:line="288" w:before="180" w:after="180"/>
        <w:ind w:left="0" w:right="0" w:firstLine="396"/>
        <w:jc w:val="center"/>
        <w:rPr>
          <w:rFonts w:ascii="Times New Roman;serif" w:hAnsi="Times New Roman;serif"/>
          <w:b w:val="false"/>
          <w:color w:val="000000"/>
          <w:sz w:val="20"/>
        </w:rPr>
      </w:pPr>
      <w:r>
        <w:rPr>
          <w:rFonts w:ascii="Times New Roman;serif" w:hAnsi="Times New Roman;serif"/>
          <w:b w:val="false"/>
          <w:color w:val="000000"/>
          <w:sz w:val="20"/>
        </w:rPr>
        <w:t>* * * * *</w:t>
      </w:r>
    </w:p>
    <w:p>
      <w:pPr>
        <w:pStyle w:val="TextBody"/>
        <w:bidi w:val="0"/>
        <w:spacing w:lineRule="auto" w:line="288" w:before="120" w:after="283"/>
        <w:ind w:left="0" w:right="0" w:firstLine="396"/>
        <w:jc w:val="both"/>
        <w:rPr>
          <w:rFonts w:ascii="Times New Roman;serif" w:hAnsi="Times New Roman;serif"/>
          <w:b w:val="false"/>
          <w:color w:val="000000"/>
          <w:sz w:val="20"/>
        </w:rPr>
      </w:pPr>
      <w:r>
        <w:rPr>
          <w:rFonts w:ascii="Times New Roman;serif" w:hAnsi="Times New Roman;serif"/>
          <w:b w:val="false"/>
          <w:color w:val="000000"/>
          <w:sz w:val="20"/>
        </w:rPr>
        <w:t>The information in this Current Report on Form 8-K shall not be deemed “filed” for purposes of Section 18 of the Securities Exchange Act of 1934, nor shall it be deemed incorporated by reference in filings under the Securities Act of 1933.</w:t>
      </w:r>
    </w:p>
    <w:p>
      <w:pPr>
        <w:pStyle w:val="TextBody"/>
        <w:bidi w:val="0"/>
        <w:spacing w:before="120" w:after="283"/>
        <w:ind w:left="0" w:right="0" w:firstLine="396"/>
        <w:jc w:val="both"/>
        <w:rPr/>
      </w:pPr>
      <w:r>
        <w:rPr/>
      </w:r>
    </w:p>
    <w:p>
      <w:pPr>
        <w:pStyle w:val="TextBody"/>
        <w:bidi w:val="0"/>
        <w:spacing w:before="120" w:after="283"/>
        <w:ind w:left="0" w:right="0" w:firstLine="396"/>
        <w:jc w:val="both"/>
        <w:rPr/>
      </w:pPr>
      <w:r>
        <w:rPr/>
      </w:r>
    </w:p>
    <w:p>
      <w:pPr>
        <w:pStyle w:val="TextBody"/>
        <w:bidi w:val="0"/>
        <w:spacing w:before="120" w:after="283"/>
        <w:ind w:left="0" w:right="0" w:firstLine="396"/>
        <w:jc w:val="both"/>
        <w:rPr/>
      </w:pPr>
      <w:r>
        <w:rPr/>
      </w:r>
    </w:p>
    <w:p>
      <w:pPr>
        <w:pStyle w:val="TextBody"/>
        <w:bidi w:val="0"/>
        <w:spacing w:before="12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tbl>
      <w:tblPr>
        <w:tblW w:w="2655" w:type="dxa"/>
        <w:jc w:val="left"/>
        <w:tblInd w:w="0" w:type="dxa"/>
        <w:tblLayout w:type="fixed"/>
        <w:tblCellMar>
          <w:top w:w="28" w:type="dxa"/>
          <w:left w:w="28" w:type="dxa"/>
          <w:bottom w:w="28" w:type="dxa"/>
          <w:right w:w="28" w:type="dxa"/>
        </w:tblCellMar>
      </w:tblPr>
      <w:tblGrid>
        <w:gridCol w:w="850"/>
        <w:gridCol w:w="747"/>
        <w:gridCol w:w="1058"/>
      </w:tblGrid>
      <w:tr>
        <w:trPr/>
        <w:tc>
          <w:tcPr>
            <w:tcW w:w="850"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r>
      <w:tr>
        <w:trPr/>
        <w:tc>
          <w:tcPr>
            <w:tcW w:w="26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Forward-Looking Statements</w:t>
            </w:r>
          </w:p>
        </w:tc>
      </w:tr>
    </w:tbl>
    <w:p>
      <w:pPr>
        <w:pStyle w:val="TextBody"/>
        <w:bidi w:val="0"/>
        <w:spacing w:lineRule="auto" w:line="288" w:before="120" w:after="283"/>
        <w:ind w:left="0" w:right="0" w:firstLine="396"/>
        <w:jc w:val="both"/>
        <w:rPr>
          <w:rFonts w:ascii="Times New Roman;serif" w:hAnsi="Times New Roman;serif"/>
          <w:b w:val="false"/>
          <w:color w:val="000000"/>
          <w:sz w:val="20"/>
        </w:rPr>
      </w:pPr>
      <w:r>
        <w:rPr>
          <w:rFonts w:ascii="Times New Roman;serif" w:hAnsi="Times New Roman;serif"/>
          <w:b w:val="false"/>
          <w:color w:val="000000"/>
          <w:sz w:val="20"/>
        </w:rPr>
        <w:t>Statements in this Current Report on Form 8-K that are not historical facts are forward-looking statements within the meaning of the federal securities laws. Words such as “believe,” “may,” “will,” “should,” “expect,” “intend,” “plan,” “predict,” “anticipate,” “estimate,” or “continue” and other words and terms of similar meaning may identify forward-looking statements.</w:t>
      </w:r>
    </w:p>
    <w:p>
      <w:pPr>
        <w:pStyle w:val="TextBody"/>
        <w:bidi w:val="0"/>
        <w:spacing w:lineRule="auto" w:line="288" w:before="120" w:after="283"/>
        <w:ind w:left="0" w:right="0" w:firstLine="396"/>
        <w:jc w:val="both"/>
        <w:rPr>
          <w:rFonts w:ascii="Times New Roman;serif" w:hAnsi="Times New Roman;serif"/>
          <w:b w:val="false"/>
          <w:color w:val="000000"/>
          <w:sz w:val="20"/>
        </w:rPr>
      </w:pPr>
      <w:r>
        <w:rPr>
          <w:rFonts w:ascii="Times New Roman;serif" w:hAnsi="Times New Roman;serif"/>
          <w:b w:val="false"/>
          <w:color w:val="000000"/>
          <w:sz w:val="20"/>
        </w:rPr>
        <w:t>All forward-looking statements involve risks and uncertainties that could cause TransDigm Group’s actual results to differ materially from those expressed or implied in any forward-looking statements made by, or on behalf of, TransDigm Group. These risks and uncertainties include but are not limited to: TransDigm Group’s ability to successfully complete the offering of the Notes and the Tender Offer; the sensitivity of our business to the number of flight hours that our customers’ planes spend aloft and our customers’ profitability, both of which are affected by general economic conditions; supply chain constraints; increases in raw material costs, taxes and labor costs that cannot be recovered in product pricing; failure to complete or successfully integrate acquisitions; our indebtedness; current and future geopolitical or other worldwide events, including, without limitation, wars or conflicts and public health crises; cybersecurity threats; risks related to the transition or physical impacts of climate change and other natural disasters or meeting regulatory requirements; our reliance on certain customers; the United States (“U.S.”) defense budget and risks associated with being a government supplier including government audits and investigations; failure to maintain government or industry approvals; risks related to changes in laws and regulations, including increases in compliance costs and potential changes in trade policies and tariffs; potential environmental liabilities; liabilities arising in connection with litigation; risks and costs associated with our international sales and operations; the satisfaction of the Refinancing Condition; the completion of the tender offer; and other factors. Further information regarding the important factors that could cause actual results to differ materially from projected results can be found in TransDigm Group's Annual Report on Form 10-K and other reports that TransDigm Group or its subsidiaries have filed with the Securities and Exchange Commission. Except as required by law, TransDigm Group undertakes no obligation to revise or update the forward-looking statements contained in this Current Report on Form 8-K.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u w:val="single"/>
        </w:rPr>
      </w:pPr>
      <w:r>
        <w:rPr>
          <w:rFonts w:ascii="Times New Roman;serif" w:hAnsi="Times New Roman;serif"/>
          <w:b/>
          <w:color w:val="000000"/>
          <w:sz w:val="20"/>
          <w:u w:val="single"/>
        </w:rPr>
        <w:t>SIGNATURE</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tbl>
      <w:tblPr>
        <w:tblW w:w="4964" w:type="dxa"/>
        <w:jc w:val="left"/>
        <w:tblInd w:w="0" w:type="dxa"/>
        <w:tblLayout w:type="fixed"/>
        <w:tblCellMar>
          <w:top w:w="28" w:type="dxa"/>
          <w:left w:w="28" w:type="dxa"/>
          <w:bottom w:w="28" w:type="dxa"/>
          <w:right w:w="28" w:type="dxa"/>
        </w:tblCellMar>
      </w:tblPr>
      <w:tblGrid>
        <w:gridCol w:w="318"/>
        <w:gridCol w:w="279"/>
        <w:gridCol w:w="279"/>
        <w:gridCol w:w="279"/>
        <w:gridCol w:w="279"/>
        <w:gridCol w:w="279"/>
        <w:gridCol w:w="279"/>
        <w:gridCol w:w="279"/>
        <w:gridCol w:w="279"/>
        <w:gridCol w:w="695"/>
        <w:gridCol w:w="695"/>
        <w:gridCol w:w="1024"/>
      </w:tblGrid>
      <w:tr>
        <w:trPr/>
        <w:tc>
          <w:tcPr>
            <w:tcW w:w="318"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1024" w:type="dxa"/>
            <w:tcBorders/>
            <w:vAlign w:val="center"/>
          </w:tcPr>
          <w:p>
            <w:pPr>
              <w:pStyle w:val="TableContents"/>
              <w:bidi w:val="0"/>
              <w:spacing w:before="0" w:after="283"/>
              <w:jc w:val="left"/>
              <w:rPr>
                <w:sz w:val="4"/>
                <w:szCs w:val="4"/>
              </w:rPr>
            </w:pPr>
            <w:r>
              <w:rPr>
                <w:sz w:val="4"/>
                <w:szCs w:val="4"/>
              </w:rPr>
            </w:r>
          </w:p>
        </w:tc>
      </w:tr>
      <w:tr>
        <w:trPr/>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4" w:type="dxa"/>
            <w:gridSpan w:val="12"/>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TRANSDIGM GROUP INCORPORATED</w:t>
            </w:r>
          </w:p>
        </w:tc>
      </w:tr>
      <w:tr>
        <w:trPr/>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8"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3"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8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cMar>
              <w:top w:w="0" w:type="dxa"/>
              <w:left w:w="0" w:type="dxa"/>
              <w:bottom w:w="0" w:type="dxa"/>
              <w:right w:w="0" w:type="dxa"/>
            </w:tcMar>
            <w:vAlign w:val="center"/>
          </w:tcPr>
          <w:p>
            <w:pPr>
              <w:pStyle w:val="TableContents"/>
              <w:bidi w:val="0"/>
              <w:spacing w:lineRule="auto" w:line="240" w:before="0" w:after="20"/>
              <w:jc w:val="left"/>
              <w:rPr>
                <w:rFonts w:ascii="Times New Roman;serif" w:hAnsi="Times New Roman;serif"/>
                <w:b w:val="false"/>
                <w:color w:val="000000"/>
                <w:sz w:val="20"/>
              </w:rPr>
            </w:pPr>
            <w:r>
              <w:rPr>
                <w:rFonts w:ascii="Times New Roman;serif" w:hAnsi="Times New Roman;serif"/>
                <w:b w:val="false"/>
                <w:color w:val="000000"/>
                <w:sz w:val="20"/>
              </w:rPr>
              <w:t>/s/ Sarah Wynne</w:t>
            </w:r>
          </w:p>
        </w:tc>
      </w:tr>
      <w:tr>
        <w:trPr/>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Name:</w:t>
            </w:r>
          </w:p>
        </w:tc>
        <w:tc>
          <w:tcPr>
            <w:tcW w:w="8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Sarah Wynne</w:t>
            </w:r>
          </w:p>
        </w:tc>
      </w:tr>
      <w:tr>
        <w:trPr/>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Title:</w:t>
            </w:r>
          </w:p>
        </w:tc>
        <w:tc>
          <w:tcPr>
            <w:tcW w:w="8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br/>
              <w:t>(Principal Financial Officer)</w:t>
            </w:r>
          </w:p>
        </w:tc>
      </w:tr>
      <w:tr>
        <w:trPr/>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vMerge w:val="continue"/>
            <w:tcBorders/>
            <w:tcMar>
              <w:top w:w="0" w:type="dxa"/>
              <w:left w:w="0" w:type="dxa"/>
              <w:bottom w:w="0" w:type="dxa"/>
              <w:right w:w="0" w:type="dxa"/>
            </w:tcMar>
            <w:vAlign w:val="center"/>
          </w:tcPr>
          <w:p>
            <w:pPr>
              <w:pStyle w:val="Normal"/>
              <w:bidi w:val="0"/>
              <w:jc w:val="left"/>
              <w:rPr/>
            </w:pPr>
            <w:r>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Dated: September 14, 2026</w:t>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1388</Words>
  <Characters>7576</Characters>
  <CharactersWithSpaces>8896</CharactersWithSpaces>
  <Paragraphs>75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