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14,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color w:val="000000"/>
          <w:sz w:val="40"/>
        </w:rPr>
        <w:t>TransDigm Group Incorporated</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00" w:type="dxa"/>
        <w:jc w:val="center"/>
        <w:tblInd w:w="0" w:type="dxa"/>
        <w:tblLayout w:type="fixed"/>
        <w:tblCellMar>
          <w:top w:w="28" w:type="dxa"/>
          <w:left w:w="28" w:type="dxa"/>
          <w:bottom w:w="28" w:type="dxa"/>
          <w:right w:w="28" w:type="dxa"/>
        </w:tblCellMar>
      </w:tblPr>
      <w:tblGrid>
        <w:gridCol w:w="124"/>
        <w:gridCol w:w="109"/>
        <w:gridCol w:w="109"/>
        <w:gridCol w:w="682"/>
        <w:gridCol w:w="682"/>
        <w:gridCol w:w="690"/>
        <w:gridCol w:w="109"/>
        <w:gridCol w:w="109"/>
        <w:gridCol w:w="109"/>
        <w:gridCol w:w="379"/>
        <w:gridCol w:w="379"/>
        <w:gridCol w:w="381"/>
        <w:gridCol w:w="109"/>
        <w:gridCol w:w="109"/>
        <w:gridCol w:w="109"/>
        <w:gridCol w:w="479"/>
        <w:gridCol w:w="479"/>
        <w:gridCol w:w="4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001-32833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41-2101738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00" w:type="dxa"/>
        <w:jc w:val="center"/>
        <w:tblInd w:w="0" w:type="dxa"/>
        <w:tblLayout w:type="fixed"/>
        <w:tblCellMar>
          <w:top w:w="28" w:type="dxa"/>
          <w:left w:w="28" w:type="dxa"/>
          <w:bottom w:w="28" w:type="dxa"/>
          <w:right w:w="28" w:type="dxa"/>
        </w:tblCellMar>
      </w:tblPr>
      <w:tblGrid>
        <w:gridCol w:w="674"/>
        <w:gridCol w:w="592"/>
        <w:gridCol w:w="594"/>
        <w:gridCol w:w="344"/>
        <w:gridCol w:w="344"/>
        <w:gridCol w:w="346"/>
        <w:gridCol w:w="334"/>
        <w:gridCol w:w="334"/>
        <w:gridCol w:w="336"/>
        <w:gridCol w:w="175"/>
        <w:gridCol w:w="175"/>
        <w:gridCol w:w="176"/>
        <w:gridCol w:w="109"/>
        <w:gridCol w:w="109"/>
        <w:gridCol w:w="109"/>
        <w:gridCol w:w="307"/>
        <w:gridCol w:w="307"/>
        <w:gridCol w:w="435"/>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1350 Euclid Avenue,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Cleveland,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44115</w:t>
            </w:r>
          </w:p>
        </w:tc>
      </w:tr>
      <w:tr>
        <w:trPr/>
        <w:tc>
          <w:tcPr>
            <w:tcW w:w="44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(216) 706-2960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872"/>
        <w:gridCol w:w="766"/>
        <w:gridCol w:w="776"/>
        <w:gridCol w:w="109"/>
        <w:gridCol w:w="109"/>
        <w:gridCol w:w="109"/>
        <w:gridCol w:w="519"/>
        <w:gridCol w:w="519"/>
        <w:gridCol w:w="521"/>
        <w:gridCol w:w="109"/>
        <w:gridCol w:w="109"/>
        <w:gridCol w:w="109"/>
        <w:gridCol w:w="1135"/>
        <w:gridCol w:w="1135"/>
        <w:gridCol w:w="1614"/>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TDG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100"/>
        <w:jc w:val="both"/>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60" w:after="1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314" w:type="dxa"/>
        <w:jc w:val="left"/>
        <w:tblInd w:w="0" w:type="dxa"/>
        <w:tblLayout w:type="fixed"/>
        <w:tblCellMar>
          <w:top w:w="28" w:type="dxa"/>
          <w:left w:w="28" w:type="dxa"/>
          <w:bottom w:w="28" w:type="dxa"/>
          <w:right w:w="28" w:type="dxa"/>
        </w:tblCellMar>
      </w:tblPr>
      <w:tblGrid>
        <w:gridCol w:w="348"/>
        <w:gridCol w:w="305"/>
        <w:gridCol w:w="307"/>
        <w:gridCol w:w="688"/>
        <w:gridCol w:w="688"/>
        <w:gridCol w:w="978"/>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1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Pricing of $3,000 Million Senior Secured Notes Offering</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14, 2026, TransDigm Group Incorporated (“TransDigm Group”) announced that its wholly-owned subsidiary, TransDigm Inc. (the “Issuer”) priced the previously announced offering of $3,000 million aggregate principal amount of 6.75% Senior Secured Notes due 2035 (the “Notes”), which was increased from the previously announced initial $2,500 million, pursuant to a confidential offering memorandum in a private placement under Rule 144A and Regulation S of the Securities Act of 1933, as amended (the “Securities Act”). The Notes will be guaranteed by TransDigm Group and certain of the Issuer’s direct and indirect subsidiaries. The Notes will be issued at 100.00% of their principal amount. The offering of the Notes is expected to close on September 28, 2026, subject to customary closing conditions. </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TransDigm Group intends to use the net proceeds of the offering of the Notes to repurchase all of the Issuer’s outstanding 6.75% Senior Secured Notes due 2028 (the “2028 Secured Notes”) pursuant to a concurrent tender offer that launched on September 14, 2026, as previously announced, and for general corporate purposes.</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The Notes and related guarantees are being offered only to persons reasonably believed to be qualified institutional buyers in reliance on the exemption from registration set forth in Rule 144A under the Securities Act of 1933 (the “Securities Act”), and outside the United States to non-U.S. persons in reliance on the exemption from registration set forth in Regulation S under the Securities Act. The Notes and the related guarantees have not been (and will not be) registered under the Securities Act, or the securities laws of any state or other jurisdiction, and may not be offered or sold in the United States without registration or an applicable exemption from, or in a transaction not subject to, the registration requirements of the Securities Act, applicable state securities or blue sky laws and foreign securities laws.</w:t>
      </w:r>
    </w:p>
    <w:p>
      <w:pPr>
        <w:pStyle w:val="TextBody"/>
        <w:bidi w:val="0"/>
        <w:spacing w:lineRule="auto" w:line="288" w:before="180" w:after="180"/>
        <w:ind w:left="0" w:right="0" w:firstLine="396"/>
        <w:jc w:val="center"/>
        <w:rPr>
          <w:rFonts w:ascii="Times New Roman;serif" w:hAnsi="Times New Roman;serif"/>
          <w:b w:val="false"/>
          <w:color w:val="000000"/>
          <w:sz w:val="20"/>
        </w:rPr>
      </w:pPr>
      <w:r>
        <w:rPr>
          <w:rFonts w:ascii="Times New Roman;serif" w:hAnsi="Times New Roman;serif"/>
          <w:b w:val="false"/>
          <w:color w:val="000000"/>
          <w:sz w:val="20"/>
        </w:rPr>
        <w:t>* * * * *</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shall not constitute an offer to sell, or the solicitation of an offer to buy, any securities, nor shall there be any sales of securities mentioned in this Current Report on Form 8-K in any state or foreign jurisdiction in which such offer, solicitation or sale would be unlawful prior to registration or qualification under the securities laws of any such state or foreign jurisdiction. </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shall not be deemed “filed” for purposes of Section 18 of the Securities Exchange Act of 1934, nor shall it be deemed incorporated by reference in filings under the Securities Act.</w:t>
      </w:r>
    </w:p>
    <w:tbl>
      <w:tblPr>
        <w:tblW w:w="2655" w:type="dxa"/>
        <w:jc w:val="left"/>
        <w:tblInd w:w="0" w:type="dxa"/>
        <w:tblLayout w:type="fixed"/>
        <w:tblCellMar>
          <w:top w:w="28" w:type="dxa"/>
          <w:left w:w="28" w:type="dxa"/>
          <w:bottom w:w="28" w:type="dxa"/>
          <w:right w:w="28" w:type="dxa"/>
        </w:tblCellMar>
      </w:tblPr>
      <w:tblGrid>
        <w:gridCol w:w="850"/>
        <w:gridCol w:w="747"/>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Forward-Looking Statements</w:t>
            </w:r>
          </w:p>
        </w:tc>
      </w:tr>
    </w:tbl>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Statements in this Current Report on Form 8-K that are not historical facts are forward-looking statements within the meaning of the Private Securities Litigation Reform Act of 1995. Words such as “believe,” “may,” “will,” “should,” “expect,” “intend,” “plan,” “predict,” “anticipate,” “estimate,” or “continue” and other words and terms of similar meaning may identify forward-looking statements.</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involve risks and uncertainties that could cause TransDigm Group’s actual results to differ materially from those expressed or implied in any forward-looking statements made by, or on behalf of, TransDigm Group. These risks and uncertainties include but are not limited to: TransDigm Group’s ability to successfully complete the offering of the Notes and concurrent tender offer for the 2028 Secured Notes; the sensitivity of our business to the number of flight hours that our customers’ planes spend aloft and our customers’ profitability, both of which are affected by general economic conditions; supply chain constraints; increases in raw material costs, taxes and labor costs that cannot be recovered in product pricing; failure to complete or successfully integrate acquisitions; our indebtedness; current and future geopolitical or other worldwide events, including, without limitation, wars or conflicts and public health crises; cybersecurity threats; risks related to the transition or physical impacts of climate change and other natural disasters or meeting regulatory requirements; our reliance on certain customers; the United States (“U.S.”) defense budget and risks associated with being a government supplier including government audits and investigations; failure to maintain government or industry approvals; risks related to changes in laws and regulations, including increases in compliance costs and potential changes in trade policies and tariffs; potential environmental liabilities; liabilities arising in connection with litigation; risks and costs associated with our international sales and operations; and other factors. Further information regarding the important factors that could cause actual results to differ materially from projected results can be found in TransDigm Group's Annual Report on Form 10-K and other reports that TransDigm Group or its subsidiaries have filed with the Securities and Exchange Commission. Except as required by law, TransDigm Group undertakes no obligation to revise or update the forward-looking statements contained in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64" w:type="dxa"/>
        <w:jc w:val="left"/>
        <w:tblInd w:w="0" w:type="dxa"/>
        <w:tblLayout w:type="fixed"/>
        <w:tblCellMar>
          <w:top w:w="28" w:type="dxa"/>
          <w:left w:w="28" w:type="dxa"/>
          <w:bottom w:w="28" w:type="dxa"/>
          <w:right w:w="28" w:type="dxa"/>
        </w:tblCellMar>
      </w:tblPr>
      <w:tblGrid>
        <w:gridCol w:w="318"/>
        <w:gridCol w:w="279"/>
        <w:gridCol w:w="279"/>
        <w:gridCol w:w="279"/>
        <w:gridCol w:w="279"/>
        <w:gridCol w:w="279"/>
        <w:gridCol w:w="279"/>
        <w:gridCol w:w="279"/>
        <w:gridCol w:w="279"/>
        <w:gridCol w:w="695"/>
        <w:gridCol w:w="695"/>
        <w:gridCol w:w="1024"/>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GROUP INCORPORATED</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Sarah Wynne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Wynne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14,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1150</Words>
  <Characters>6481</Characters>
  <CharactersWithSpaces>7568</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