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Reiss Joel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47"/>
        <w:gridCol w:w="945"/>
        <w:gridCol w:w="812"/>
        <w:gridCol w:w="627"/>
        <w:gridCol w:w="346"/>
        <w:gridCol w:w="770"/>
        <w:gridCol w:w="423"/>
        <w:gridCol w:w="1283"/>
        <w:gridCol w:w="1130"/>
        <w:gridCol w:w="980"/>
        <w:gridCol w:w="94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7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1,230.0563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3,824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1,231.0943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3,754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1,232.3369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1,233.38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reported constitutes the average weighted price of shares sold. Shares were sold at varying prices in the range of $1,229.6600 - $1,230.5400.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constitutes the average weighted price of shares sold. Shares were sold at varying prices in the range of $1,230.8800 - $1,231.4800.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constitutes the average weighted price of shares sold. Shares were sold at varying prices in the range of $1,231.9900 - $1,232.8300.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Due to a 30-line item limitation in Table 1, this is the second of two Form 4s filed by the reporting person for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Joel Reiss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6109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791</Words>
  <Characters>4218</Characters>
  <CharactersWithSpaces>4924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