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Graff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 PRINCE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FLOOR 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Receipt of stock in lieu of payment of semi-annual director fee, based on fair market value in accordance with the Director Share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reported in Column Five are held by The 2012 Carol Ostrow GST Trust created by the reporting person's spouse for the benefit of their children (the "Spouse Trust").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are held by certain trusts created for the benefit of the reporting person's children and for which the reporting person is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Michael Graff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9926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3513</Characters>
  <CharactersWithSpaces>4096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