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92"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Schedule 14A</w:t>
      </w: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419"/>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764540</wp:posOffset>
            </wp:positionH>
            <wp:positionV relativeFrom="paragraph">
              <wp:posOffset>113030</wp:posOffset>
            </wp:positionV>
            <wp:extent cx="64998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9860" cy="42545"/>
                    </a:xfrm>
                    <a:prstGeom prst="rect">
                      <a:avLst/>
                    </a:prstGeom>
                    <a:noFill/>
                  </pic:spPr>
                </pic:pic>
              </a:graphicData>
            </a:graphic>
          </wp:anchor>
        </w:drawing>
      </w:r>
    </w:p>
    <w:p>
      <w:pPr>
        <w:spacing w:after="0" w:line="239" w:lineRule="exact"/>
        <w:rPr>
          <w:sz w:val="24"/>
          <w:szCs w:val="24"/>
          <w:color w:val="auto"/>
        </w:rPr>
      </w:pPr>
    </w:p>
    <w:p>
      <w:pPr>
        <w:ind w:left="3400"/>
        <w:spacing w:after="0" w:line="207" w:lineRule="exact"/>
        <w:tabs>
          <w:tab w:leader="none" w:pos="570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00" w:lineRule="exact"/>
        <w:rPr>
          <w:rFonts w:ascii="MS PGothic" w:cs="MS PGothic" w:eastAsia="MS PGothic" w:hAnsi="MS PGothic"/>
          <w:sz w:val="18"/>
          <w:szCs w:val="18"/>
          <w:color w:val="auto"/>
        </w:rPr>
      </w:pPr>
    </w:p>
    <w:p>
      <w:pPr>
        <w:spacing w:after="0" w:line="210" w:lineRule="exact"/>
        <w:rPr>
          <w:rFonts w:ascii="MS PGothic" w:cs="MS PGothic" w:eastAsia="MS PGothic" w:hAnsi="MS PGothic"/>
          <w:sz w:val="18"/>
          <w:szCs w:val="18"/>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02" w:lineRule="exact"/>
        <w:rPr>
          <w:rFonts w:ascii="MS PGothic" w:cs="MS PGothic" w:eastAsia="MS PGothic" w:hAnsi="MS PGothic"/>
          <w:sz w:val="18"/>
          <w:szCs w:val="18"/>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460" w:hanging="357"/>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00" w:lineRule="exact"/>
        <w:rPr>
          <w:sz w:val="24"/>
          <w:szCs w:val="24"/>
          <w:color w:val="auto"/>
        </w:rPr>
      </w:pPr>
    </w:p>
    <w:p>
      <w:pPr>
        <w:spacing w:after="0" w:line="214" w:lineRule="exact"/>
        <w:rPr>
          <w:sz w:val="24"/>
          <w:szCs w:val="24"/>
          <w:color w:val="auto"/>
        </w:rPr>
      </w:pPr>
    </w:p>
    <w:p>
      <w:pPr>
        <w:ind w:left="460" w:hanging="357"/>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Materials Pursuant to §240.14a-12</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639"/>
        <w:spacing w:after="0"/>
        <w:rPr>
          <w:sz w:val="20"/>
          <w:szCs w:val="20"/>
          <w:color w:val="auto"/>
        </w:rPr>
      </w:pPr>
      <w:r>
        <w:rPr>
          <w:rFonts w:ascii="Arial" w:cs="Arial" w:eastAsia="Arial" w:hAnsi="Arial"/>
          <w:sz w:val="43"/>
          <w:szCs w:val="43"/>
          <w:b w:val="1"/>
          <w:bCs w:val="1"/>
          <w:color w:val="auto"/>
        </w:rPr>
        <w:t>TransDigm Group Incorporated</w:t>
      </w:r>
    </w:p>
    <w:p>
      <w:pPr>
        <w:spacing w:after="0" w:line="37"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47"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80" w:hanging="345"/>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00" w:lineRule="exact"/>
        <w:rPr>
          <w:sz w:val="24"/>
          <w:szCs w:val="24"/>
          <w:color w:val="auto"/>
        </w:rPr>
      </w:pPr>
    </w:p>
    <w:p>
      <w:pPr>
        <w:spacing w:after="0" w:line="214" w:lineRule="exact"/>
        <w:rPr>
          <w:sz w:val="24"/>
          <w:szCs w:val="24"/>
          <w:color w:val="auto"/>
        </w:rPr>
      </w:pPr>
    </w:p>
    <w:p>
      <w:pPr>
        <w:ind w:left="500" w:hanging="465"/>
        <w:spacing w:after="0"/>
        <w:tabs>
          <w:tab w:leader="none" w:pos="5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75" w:lineRule="exact"/>
        <w:rPr>
          <w:sz w:val="24"/>
          <w:szCs w:val="24"/>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41" w:lineRule="exact"/>
        <w:rPr>
          <w:rFonts w:ascii="Arial" w:cs="Arial" w:eastAsia="Arial" w:hAnsi="Arial"/>
          <w:sz w:val="14"/>
          <w:szCs w:val="14"/>
          <w:color w:val="auto"/>
        </w:rPr>
      </w:pPr>
    </w:p>
    <w:p>
      <w:pPr>
        <w:ind w:left="500" w:right="160" w:hanging="465"/>
        <w:spacing w:after="0" w:line="253"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181" w:lineRule="exact"/>
        <w:rPr>
          <w:sz w:val="24"/>
          <w:szCs w:val="24"/>
          <w:color w:val="auto"/>
        </w:rPr>
      </w:pPr>
    </w:p>
    <w:p>
      <w:pPr>
        <w:ind w:left="380" w:hanging="345"/>
        <w:spacing w:after="0"/>
        <w:tabs>
          <w:tab w:leader="none" w:pos="38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214" w:lineRule="exact"/>
        <w:rPr>
          <w:rFonts w:ascii="MS PGothic" w:cs="MS PGothic" w:eastAsia="MS PGothic" w:hAnsi="MS PGothic"/>
          <w:sz w:val="18"/>
          <w:szCs w:val="18"/>
          <w:color w:val="auto"/>
        </w:rPr>
      </w:pPr>
    </w:p>
    <w:p>
      <w:pPr>
        <w:ind w:left="500" w:hanging="465"/>
        <w:spacing w:after="0" w:line="295" w:lineRule="auto"/>
        <w:tabs>
          <w:tab w:leader="none" w:pos="50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sz w:val="24"/>
          <w:szCs w:val="24"/>
          <w:color w:val="auto"/>
        </w:rPr>
      </w:pPr>
    </w:p>
    <w:p>
      <w:pPr>
        <w:ind w:left="500" w:hanging="465"/>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976" w:right="6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5723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Important Additional Information and Where to Find It</w:t>
      </w:r>
    </w:p>
    <w:p>
      <w:pPr>
        <w:spacing w:after="0" w:line="1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Esterline intends to file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a proxy statement in connection with the contemplated transactions. The definitive proxy statement will be sent or given to Esterline stockholders and will contain important information about the contemplated transactions.</w:t>
      </w:r>
    </w:p>
    <w:p>
      <w:pPr>
        <w:jc w:val="both"/>
        <w:spacing w:after="0" w:line="255" w:lineRule="auto"/>
        <w:rPr>
          <w:sz w:val="20"/>
          <w:szCs w:val="20"/>
          <w:color w:val="auto"/>
        </w:rPr>
      </w:pPr>
      <w:r>
        <w:rPr>
          <w:rFonts w:ascii="Arial" w:cs="Arial" w:eastAsia="Arial" w:hAnsi="Arial"/>
          <w:sz w:val="18"/>
          <w:szCs w:val="18"/>
          <w:b w:val="1"/>
          <w:bCs w:val="1"/>
          <w:color w:val="auto"/>
        </w:rPr>
        <w:t xml:space="preserve">INVESTORS AND SECURITY HOLDERS ARE URGED TO READ CAREFULLY AND IN THEIR ENTIRETY THE PROXY STATEMENT AND ANY OTHER RELEVANT DOCUMENTS FILED WITH THE SEC WHEN THEY BECOME AVAILABLE. </w:t>
      </w:r>
      <w:r>
        <w:rPr>
          <w:rFonts w:ascii="Arial" w:cs="Arial" w:eastAsia="Arial" w:hAnsi="Arial"/>
          <w:sz w:val="18"/>
          <w:szCs w:val="18"/>
          <w:color w:val="auto"/>
        </w:rPr>
        <w:t>Investors and security holders may</w:t>
      </w:r>
      <w:r>
        <w:rPr>
          <w:rFonts w:ascii="Arial" w:cs="Arial" w:eastAsia="Arial" w:hAnsi="Arial"/>
          <w:sz w:val="18"/>
          <w:szCs w:val="18"/>
          <w:b w:val="1"/>
          <w:bCs w:val="1"/>
          <w:color w:val="auto"/>
        </w:rPr>
        <w:t xml:space="preserve"> </w:t>
      </w:r>
      <w:r>
        <w:rPr>
          <w:rFonts w:ascii="Arial" w:cs="Arial" w:eastAsia="Arial" w:hAnsi="Arial"/>
          <w:sz w:val="18"/>
          <w:szCs w:val="18"/>
          <w:color w:val="auto"/>
        </w:rPr>
        <w:t>obtain a free copy of the proxy statement (when it is available) and other documents filed with the SEC at the SEC’s website at www.sec.gov.</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Merger Solicitation</w:t>
      </w:r>
    </w:p>
    <w:p>
      <w:pPr>
        <w:spacing w:after="0" w:line="18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Company and Esterline and their respective directors and executive officers may be deemed participants in the solicitation of proxies from Esterline investors and security holders in connection with the contemplated transactions. Information about the Company’s directors and executive officers is set forth in its proxy statement for its 2018 Annual Meeting of Stockholders and its most recent annual report on Form 10-K. Information about Esterline’s directors and executive officers is set forth in its proxy statement for its 2018 Annual Meeting of Stockholders and its most recent annual report on Form 10-K. These documents may be obtained for free at the SEC’s website at </w:t>
      </w:r>
      <w:r>
        <w:rPr>
          <w:rFonts w:ascii="Arial" w:cs="Arial" w:eastAsia="Arial" w:hAnsi="Arial"/>
          <w:sz w:val="16"/>
          <w:szCs w:val="16"/>
          <w:u w:val="single" w:color="auto"/>
          <w:color w:val="0000FF"/>
        </w:rPr>
        <w:t>www.sec.gov</w:t>
      </w:r>
      <w:r>
        <w:rPr>
          <w:rFonts w:ascii="Arial" w:cs="Arial" w:eastAsia="Arial" w:hAnsi="Arial"/>
          <w:sz w:val="16"/>
          <w:szCs w:val="16"/>
          <w:color w:val="auto"/>
        </w:rPr>
        <w:t>. Additional information regarding the interests of participants in the solicitation of proxies in connection with the contemplated transactions will be included in the proxy statement that Esterline intends to file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in this communication which are not historic facts are forward-looking statements under the provisions of the Private Securities Litigation Reform Act of 1995, including but not limited to expectations of Esterline’s future performance, profitability, growth and earnings; expectations of TransDigm’s earnings per share and the financial impact of the proposed transaction; the financing of the proposed transaction; and the timing of the proposed transaction. All statements other than statements of historical fact that address activities, events or developments that we expect, believe or anticipate will or may occur in the future are forward-looking statements, including, in particular, statements about our plans, objectives, strategies and prospects regarding, among other things, the acquired business. We have identified some of these forward-looking statements with words like “believe,” “may,” “will,” “should,” “expect,” “intend,” “plan,” “predict,” “anticipate,” “estimate” or “continue” and other words and terms of similar meaning. All forward-looking statements involve risks and uncertainties which could affect TransDigm’s actual results and could cause its actual results or the benefits of the proposed transaction to differ materially from those expressed in any forward-looking statements made by, or on behalf of TransDigm. These risks and uncertainties include, but are not limited to, closing conditions to the proposed transaction may not be achieved, the occurrence of any event, change or other circumstance that could give rise to the termination of the Merger Agreement, the effect of the announcement or pendency of the proposed transaction on the TransDigm’s and Esterline’s business relationships, operating results and business generally, risks related to diverting management’s attention from ongoing business operations, the outcome of any legal proceedings that may be instituted related to the Merger Agreement or the proposed transaction, unexpected costs, charges or expenses resulting from the proposed transaction, Esterline’s actual financial results for the year ended September 28, 2018 may differ from expected results, TransDigm may have difficulty obtaining required approvals, TransDigm may have difficulty implementing its strategic value drivers, and TransDigm may be impacted by the effects of general economic and industry conditions. Except as required by law, TransDigm undertakes no obligation to revise or update the forward-looking information contained in this communication.</w:t>
      </w:r>
    </w:p>
    <w:sectPr>
      <w:pgSz w:w="11900" w:h="16838" w:orient="portrait"/>
      <w:cols w:equalWidth="0" w:num="1">
        <w:col w:w="11420"/>
      </w:cols>
      <w:pgMar w:left="240" w:top="7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2019-12-06T22:02:40Z</dcterms:created>
  <dcterms:modified xsi:type="dcterms:W3CDTF">2019-12-06T22:02:40Z</dcterms:modified>
</cp:coreProperties>
</file>