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160" w:after="283"/>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September 14,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color w:val="000000"/>
          <w:sz w:val="40"/>
        </w:rPr>
        <w:t>TransDigm Group Incorporated</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00" w:type="dxa"/>
        <w:jc w:val="center"/>
        <w:tblInd w:w="0" w:type="dxa"/>
        <w:tblLayout w:type="fixed"/>
        <w:tblCellMar>
          <w:top w:w="28" w:type="dxa"/>
          <w:left w:w="28" w:type="dxa"/>
          <w:bottom w:w="28" w:type="dxa"/>
          <w:right w:w="28" w:type="dxa"/>
        </w:tblCellMar>
      </w:tblPr>
      <w:tblGrid>
        <w:gridCol w:w="124"/>
        <w:gridCol w:w="109"/>
        <w:gridCol w:w="109"/>
        <w:gridCol w:w="682"/>
        <w:gridCol w:w="682"/>
        <w:gridCol w:w="690"/>
        <w:gridCol w:w="109"/>
        <w:gridCol w:w="109"/>
        <w:gridCol w:w="109"/>
        <w:gridCol w:w="379"/>
        <w:gridCol w:w="379"/>
        <w:gridCol w:w="381"/>
        <w:gridCol w:w="109"/>
        <w:gridCol w:w="109"/>
        <w:gridCol w:w="109"/>
        <w:gridCol w:w="479"/>
        <w:gridCol w:w="479"/>
        <w:gridCol w:w="4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001-32833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41-2101738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00" w:type="dxa"/>
        <w:jc w:val="center"/>
        <w:tblInd w:w="0" w:type="dxa"/>
        <w:tblLayout w:type="fixed"/>
        <w:tblCellMar>
          <w:top w:w="28" w:type="dxa"/>
          <w:left w:w="28" w:type="dxa"/>
          <w:bottom w:w="28" w:type="dxa"/>
          <w:right w:w="28" w:type="dxa"/>
        </w:tblCellMar>
      </w:tblPr>
      <w:tblGrid>
        <w:gridCol w:w="674"/>
        <w:gridCol w:w="592"/>
        <w:gridCol w:w="594"/>
        <w:gridCol w:w="344"/>
        <w:gridCol w:w="344"/>
        <w:gridCol w:w="346"/>
        <w:gridCol w:w="334"/>
        <w:gridCol w:w="334"/>
        <w:gridCol w:w="336"/>
        <w:gridCol w:w="175"/>
        <w:gridCol w:w="175"/>
        <w:gridCol w:w="176"/>
        <w:gridCol w:w="109"/>
        <w:gridCol w:w="109"/>
        <w:gridCol w:w="109"/>
        <w:gridCol w:w="307"/>
        <w:gridCol w:w="307"/>
        <w:gridCol w:w="435"/>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1350 Euclid Avenue,</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1600,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Cleveland,</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44115</w:t>
            </w:r>
          </w:p>
        </w:tc>
      </w:tr>
      <w:tr>
        <w:trPr/>
        <w:tc>
          <w:tcPr>
            <w:tcW w:w="442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(216) 706-2960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11" w:type="dxa"/>
        <w:jc w:val="center"/>
        <w:tblInd w:w="0" w:type="dxa"/>
        <w:tblLayout w:type="fixed"/>
        <w:tblCellMar>
          <w:top w:w="28" w:type="dxa"/>
          <w:left w:w="28" w:type="dxa"/>
          <w:bottom w:w="28" w:type="dxa"/>
          <w:right w:w="28" w:type="dxa"/>
        </w:tblCellMar>
      </w:tblPr>
      <w:tblGrid>
        <w:gridCol w:w="872"/>
        <w:gridCol w:w="766"/>
        <w:gridCol w:w="776"/>
        <w:gridCol w:w="109"/>
        <w:gridCol w:w="109"/>
        <w:gridCol w:w="109"/>
        <w:gridCol w:w="519"/>
        <w:gridCol w:w="519"/>
        <w:gridCol w:w="521"/>
        <w:gridCol w:w="109"/>
        <w:gridCol w:w="109"/>
        <w:gridCol w:w="109"/>
        <w:gridCol w:w="1135"/>
        <w:gridCol w:w="1135"/>
        <w:gridCol w:w="1614"/>
      </w:tblGrid>
      <w:tr>
        <w:trPr/>
        <w:tc>
          <w:tcPr>
            <w:tcW w:w="87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TDG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100"/>
        <w:jc w:val="both"/>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60" w:after="18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314" w:type="dxa"/>
        <w:jc w:val="left"/>
        <w:tblInd w:w="0" w:type="dxa"/>
        <w:tblLayout w:type="fixed"/>
        <w:tblCellMar>
          <w:top w:w="28" w:type="dxa"/>
          <w:left w:w="28" w:type="dxa"/>
          <w:bottom w:w="28" w:type="dxa"/>
          <w:right w:w="28" w:type="dxa"/>
        </w:tblCellMar>
      </w:tblPr>
      <w:tblGrid>
        <w:gridCol w:w="348"/>
        <w:gridCol w:w="305"/>
        <w:gridCol w:w="307"/>
        <w:gridCol w:w="688"/>
        <w:gridCol w:w="688"/>
        <w:gridCol w:w="978"/>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16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$2,500 Million Senior Secured Notes Offering</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On September 14, 2026, TransDigm Group Incorporated (“TransDigm Group”) announced that its wholly-owned subsidiary, TransDigm Inc. (the “Issuer”) is planning, subject to market and other conditions, to offer $2,500 million aggregate principal amount of senior secured notes (the “Notes”) pursuant to a confidential offering memorandum in a private placement under Rule 144A and Regulation S of the Securities Act of 1933, as amended (the “Securities Act”). The Notes will be guaranteed by TransDigm Group and certain of the Issuer’s direct and indirect subsidiaries.</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TransDigm Group intends to use the net proceeds of the offering of the Notes to repurchase all of the Issuer’s outstanding 6.75% Senior Secured Notes due 2028 (the “2028 Secured Notes”) pursuant to a concurrent tender offer, and for general corporate purposes.</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 xml:space="preserve">The Notes and related guarantees are being offered only to persons reasonably believed to be qualified institutional buyers in reliance on the exemption from registration set forth in Rule 144A under the Securities Act, and outside the United States to non-U.S. persons in reliance on the exemption from registration set forth in Regulation S under the Securities Act. The Notes and the related guarantees have not been (and will not be) registered under the Securities Act, or the securities laws of any state or other jurisdiction, and may not be offered or sold in the United States without registration or an applicable exemption from, or in a transaction not subject to, the registration requirements of the Securities Act, applicable state securities or blue sky laws and foreign securities laws. </w:t>
      </w:r>
    </w:p>
    <w:p>
      <w:pPr>
        <w:pStyle w:val="TextBody"/>
        <w:bidi w:val="0"/>
        <w:spacing w:lineRule="auto" w:line="288" w:before="180" w:after="180"/>
        <w:ind w:left="0" w:right="0" w:firstLine="396"/>
        <w:jc w:val="center"/>
        <w:rPr>
          <w:rFonts w:ascii="Times New Roman;serif" w:hAnsi="Times New Roman;serif"/>
          <w:b w:val="false"/>
          <w:color w:val="000000"/>
          <w:sz w:val="20"/>
        </w:rPr>
      </w:pPr>
      <w:r>
        <w:rPr>
          <w:rFonts w:ascii="Times New Roman;serif" w:hAnsi="Times New Roman;serif"/>
          <w:b w:val="false"/>
          <w:color w:val="000000"/>
          <w:sz w:val="20"/>
        </w:rPr>
        <w:t>* * * * *</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shall not constitute an offer to sell, or the solicitation of an offer to buy, any securities, nor shall there be any sales of securities mentioned in this Current Report on Form 8-K in any state or foreign jurisdiction in which such offer, solicitation or sale would be unlawful prior to registration or qualification under the securities laws of any such state or foreign jurisdiction. </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shall not be deemed “filed” for purposes of Section 18 of the Securities Exchange Act of 1934, nor shall it be deemed incorporated by reference in filings under the Securities Act.</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2655" w:type="dxa"/>
        <w:jc w:val="left"/>
        <w:tblInd w:w="0" w:type="dxa"/>
        <w:tblLayout w:type="fixed"/>
        <w:tblCellMar>
          <w:top w:w="28" w:type="dxa"/>
          <w:left w:w="28" w:type="dxa"/>
          <w:bottom w:w="28" w:type="dxa"/>
          <w:right w:w="28" w:type="dxa"/>
        </w:tblCellMar>
      </w:tblPr>
      <w:tblGrid>
        <w:gridCol w:w="850"/>
        <w:gridCol w:w="747"/>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Forward-Looking Statements</w:t>
            </w:r>
          </w:p>
        </w:tc>
      </w:tr>
    </w:tbl>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Statements in this Current Report on Form 8-K that are not historical facts are forward-looking statements within the meaning of the Private Securities Litigation Reform Act of 1995. Words such as “believe,” “may,” “will,” “should,” “expect,” “intend,” “plan,” “predict,” “anticipate,” “estimate,” or “continue” and other words and terms of similar meaning may identify forward-looking statements.</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All forward-looking statements involve risks and uncertainties that could cause TransDigm Group’s actual results to differ materially from those expressed or implied in any forward-looking statements made by, or on behalf of, TransDigm Group. These risks and uncertainties include but are not limited to: TransDigm Group’s ability to successfully complete the offering of the Notes and the concurrent tender offer for the 2028 Secured Notes; the sensitivity of our business to the number of flight hours that our customers’ planes spend aloft and our customers’ profitability, both of which are affected by general economic conditions; supply chain constraints; increases in raw material costs, taxes and labor costs that cannot be recovered in product pricing; failure to complete or successfully integrate acquisitions; our indebtedness; current and future geopolitical or other worldwide events, including, without limitation, wars or conflicts and public health crises; cybersecurity threats; risks related to the transition or physical impacts of climate change and other natural disasters or meeting regulatory requirements; our reliance on certain customers; the United States (“U.S.”) defense budget and risks associated with being a government supplier including government audits and investigations; failure to maintain government or industry approvals; risks related to changes in laws and regulations, including increases in compliance costs and potential changes in trade policies and tariffs; potential environmental liabilities; liabilities arising in connection with litigation; risks and costs associated with our international sales and operations; and other factors. Further information regarding the important factors that could cause actual results to differ materially from projected results can be found in TransDigm Group's Annual Report on Form 10-K and other reports that TransDigm Group or its subsidiaries have filed with the Securities and Exchange Commission. Except as required by law, TransDigm Group undertakes no obligation to revise or update the forward-looking statements contained in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964" w:type="dxa"/>
        <w:jc w:val="left"/>
        <w:tblInd w:w="0" w:type="dxa"/>
        <w:tblLayout w:type="fixed"/>
        <w:tblCellMar>
          <w:top w:w="28" w:type="dxa"/>
          <w:left w:w="28" w:type="dxa"/>
          <w:bottom w:w="28" w:type="dxa"/>
          <w:right w:w="28" w:type="dxa"/>
        </w:tblCellMar>
      </w:tblPr>
      <w:tblGrid>
        <w:gridCol w:w="318"/>
        <w:gridCol w:w="279"/>
        <w:gridCol w:w="279"/>
        <w:gridCol w:w="279"/>
        <w:gridCol w:w="279"/>
        <w:gridCol w:w="279"/>
        <w:gridCol w:w="279"/>
        <w:gridCol w:w="279"/>
        <w:gridCol w:w="279"/>
        <w:gridCol w:w="695"/>
        <w:gridCol w:w="695"/>
        <w:gridCol w:w="1024"/>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GROUP INCORPORATED</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Sarah Wynne</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Wynne</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September 14, 2026</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1097</Words>
  <Characters>6189</Characters>
  <CharactersWithSpaces>7223</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