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WASHINGTON, D.C. 20549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160" w:after="283"/>
        <w:jc w:val="center"/>
        <w:rPr>
          <w:rFonts w:ascii="Times New Roman;serif" w:hAnsi="Times New Roman;serif"/>
          <w:b/>
          <w:color w:val="000000"/>
          <w:sz w:val="22"/>
        </w:rPr>
      </w:pPr>
      <w:r>
        <w:rPr>
          <w:rFonts w:ascii="Times New Roman;serif" w:hAnsi="Times New Roman;serif"/>
          <w:b/>
          <w:color w:val="000000"/>
          <w:sz w:val="22"/>
        </w:rPr>
        <w:t>Pursuant to Section 13 or 15(d)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of The Securities Exchange Act of 1934</w:t>
      </w:r>
    </w:p>
    <w:p>
      <w:pPr>
        <w:pStyle w:val="TextBody"/>
        <w:bidi w:val="0"/>
        <w:spacing w:lineRule="auto" w:line="288" w:before="180" w:after="120"/>
        <w:jc w:val="center"/>
        <w:rPr>
          <w:rFonts w:ascii="Times New Roman;serif" w:hAnsi="Times New Roman;serif"/>
          <w:b/>
          <w:color w:val="000000"/>
          <w:sz w:val="20"/>
        </w:rPr>
      </w:pPr>
      <w:r>
        <w:rPr>
          <w:rFonts w:ascii="Times New Roman;serif" w:hAnsi="Times New Roman;serif"/>
          <w:b/>
          <w:color w:val="000000"/>
          <w:sz w:val="20"/>
        </w:rPr>
        <w:t xml:space="preserve">Date of Report (Date of earliest event reported): July 22, 2026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pPr>
      <w:r>
        <w:rPr>
          <w:rFonts w:ascii="Times New Roman;serif" w:hAnsi="Times New Roman;serif"/>
          <w:b/>
          <w:color w:val="000000"/>
          <w:sz w:val="40"/>
        </w:rPr>
        <w:t>TransDigm Group Incorporated</w:t>
      </w:r>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000" w:type="dxa"/>
        <w:jc w:val="center"/>
        <w:tblInd w:w="0" w:type="dxa"/>
        <w:tblLayout w:type="fixed"/>
        <w:tblCellMar>
          <w:top w:w="28" w:type="dxa"/>
          <w:left w:w="28" w:type="dxa"/>
          <w:bottom w:w="28" w:type="dxa"/>
          <w:right w:w="28" w:type="dxa"/>
        </w:tblCellMar>
      </w:tblPr>
      <w:tblGrid>
        <w:gridCol w:w="124"/>
        <w:gridCol w:w="109"/>
        <w:gridCol w:w="109"/>
        <w:gridCol w:w="682"/>
        <w:gridCol w:w="682"/>
        <w:gridCol w:w="690"/>
        <w:gridCol w:w="109"/>
        <w:gridCol w:w="109"/>
        <w:gridCol w:w="109"/>
        <w:gridCol w:w="379"/>
        <w:gridCol w:w="379"/>
        <w:gridCol w:w="381"/>
        <w:gridCol w:w="109"/>
        <w:gridCol w:w="109"/>
        <w:gridCol w:w="109"/>
        <w:gridCol w:w="479"/>
        <w:gridCol w:w="479"/>
        <w:gridCol w:w="48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001-32833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41-2101738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Identification 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800" w:type="dxa"/>
        <w:jc w:val="center"/>
        <w:tblInd w:w="0" w:type="dxa"/>
        <w:tblLayout w:type="fixed"/>
        <w:tblCellMar>
          <w:top w:w="28" w:type="dxa"/>
          <w:left w:w="28" w:type="dxa"/>
          <w:bottom w:w="28" w:type="dxa"/>
          <w:right w:w="28" w:type="dxa"/>
        </w:tblCellMar>
      </w:tblPr>
      <w:tblGrid>
        <w:gridCol w:w="674"/>
        <w:gridCol w:w="592"/>
        <w:gridCol w:w="594"/>
        <w:gridCol w:w="344"/>
        <w:gridCol w:w="344"/>
        <w:gridCol w:w="346"/>
        <w:gridCol w:w="334"/>
        <w:gridCol w:w="334"/>
        <w:gridCol w:w="336"/>
        <w:gridCol w:w="175"/>
        <w:gridCol w:w="175"/>
        <w:gridCol w:w="176"/>
        <w:gridCol w:w="109"/>
        <w:gridCol w:w="109"/>
        <w:gridCol w:w="109"/>
        <w:gridCol w:w="307"/>
        <w:gridCol w:w="307"/>
        <w:gridCol w:w="435"/>
      </w:tblGrid>
      <w:tr>
        <w:trPr/>
        <w:tc>
          <w:tcPr>
            <w:tcW w:w="674"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1350 Euclid Avenue,</w:t>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Suite 1600,</w:t>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Cleveland,</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Ohio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44115</w:t>
            </w:r>
          </w:p>
        </w:tc>
      </w:tr>
      <w:tr>
        <w:trPr/>
        <w:tc>
          <w:tcPr>
            <w:tcW w:w="442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(Zip Code)</w:t>
            </w:r>
          </w:p>
        </w:tc>
      </w:tr>
    </w:tbl>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 xml:space="preserve">(216) 706-2960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w:t>
      </w:r>
    </w:p>
    <w:tbl>
      <w:tblPr>
        <w:tblW w:w="6852" w:type="dxa"/>
        <w:jc w:val="center"/>
        <w:tblInd w:w="0" w:type="dxa"/>
        <w:tblLayout w:type="fixed"/>
        <w:tblCellMar>
          <w:top w:w="28" w:type="dxa"/>
          <w:left w:w="28" w:type="dxa"/>
          <w:bottom w:w="28" w:type="dxa"/>
          <w:right w:w="28" w:type="dxa"/>
        </w:tblCellMar>
      </w:tblPr>
      <w:tblGrid>
        <w:gridCol w:w="124"/>
        <w:gridCol w:w="109"/>
        <w:gridCol w:w="109"/>
        <w:gridCol w:w="1904"/>
        <w:gridCol w:w="1904"/>
        <w:gridCol w:w="27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60"/>
              <w:jc w:val="both"/>
              <w:rPr>
                <w:color w:val="000000"/>
              </w:rPr>
            </w:pPr>
            <w:r>
              <w:rPr>
                <w:color w:val="000000"/>
              </w:rPr>
              <w:t>☐</w:t>
            </w:r>
          </w:p>
        </w:tc>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Written communications pursuant to Rule 425 under the Securities Act (17 CFR 230.425)</w:t>
            </w:r>
          </w:p>
        </w:tc>
      </w:tr>
    </w:tbl>
    <w:tbl>
      <w:tblPr>
        <w:tblW w:w="6851" w:type="dxa"/>
        <w:jc w:val="center"/>
        <w:tblInd w:w="0" w:type="dxa"/>
        <w:tblLayout w:type="fixed"/>
        <w:tblCellMar>
          <w:top w:w="28" w:type="dxa"/>
          <w:left w:w="28" w:type="dxa"/>
          <w:bottom w:w="28" w:type="dxa"/>
          <w:right w:w="28" w:type="dxa"/>
        </w:tblCellMar>
      </w:tblPr>
      <w:tblGrid>
        <w:gridCol w:w="124"/>
        <w:gridCol w:w="109"/>
        <w:gridCol w:w="109"/>
        <w:gridCol w:w="1904"/>
        <w:gridCol w:w="1904"/>
        <w:gridCol w:w="27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60"/>
              <w:jc w:val="both"/>
              <w:rPr>
                <w:color w:val="000000"/>
              </w:rPr>
            </w:pPr>
            <w:r>
              <w:rPr>
                <w:color w:val="000000"/>
              </w:rPr>
              <w:t>☐</w:t>
            </w:r>
          </w:p>
        </w:tc>
        <w:tc>
          <w:tcPr>
            <w:tcW w:w="65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Soliciting material pursuant to Rule 14a-12 under the Exchange Act (17 CFR 240.14a-12)</w:t>
            </w:r>
          </w:p>
        </w:tc>
      </w:tr>
    </w:tbl>
    <w:tbl>
      <w:tblPr>
        <w:tblW w:w="8442" w:type="dxa"/>
        <w:jc w:val="center"/>
        <w:tblInd w:w="0" w:type="dxa"/>
        <w:tblLayout w:type="fixed"/>
        <w:tblCellMar>
          <w:top w:w="28" w:type="dxa"/>
          <w:left w:w="28" w:type="dxa"/>
          <w:bottom w:w="28" w:type="dxa"/>
          <w:right w:w="28" w:type="dxa"/>
        </w:tblCellMar>
      </w:tblPr>
      <w:tblGrid>
        <w:gridCol w:w="124"/>
        <w:gridCol w:w="109"/>
        <w:gridCol w:w="109"/>
        <w:gridCol w:w="2368"/>
        <w:gridCol w:w="2368"/>
        <w:gridCol w:w="33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33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60"/>
              <w:jc w:val="both"/>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14d-2(b) under the Exchange Act (17 CFR 240.14d-2(b))</w:t>
            </w:r>
          </w:p>
        </w:tc>
      </w:tr>
    </w:tbl>
    <w:tbl>
      <w:tblPr>
        <w:tblW w:w="8381" w:type="dxa"/>
        <w:jc w:val="center"/>
        <w:tblInd w:w="0" w:type="dxa"/>
        <w:tblLayout w:type="fixed"/>
        <w:tblCellMar>
          <w:top w:w="28" w:type="dxa"/>
          <w:left w:w="28" w:type="dxa"/>
          <w:bottom w:w="28" w:type="dxa"/>
          <w:right w:w="28" w:type="dxa"/>
        </w:tblCellMar>
      </w:tblPr>
      <w:tblGrid>
        <w:gridCol w:w="124"/>
        <w:gridCol w:w="109"/>
        <w:gridCol w:w="109"/>
        <w:gridCol w:w="2350"/>
        <w:gridCol w:w="2350"/>
        <w:gridCol w:w="33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33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60"/>
              <w:jc w:val="both"/>
              <w:rPr>
                <w:color w:val="000000"/>
              </w:rPr>
            </w:pPr>
            <w:r>
              <w:rPr>
                <w:color w:val="000000"/>
              </w:rPr>
              <w:t>☐</w:t>
            </w:r>
          </w:p>
        </w:tc>
        <w:tc>
          <w:tcPr>
            <w:tcW w:w="80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13e-4(c) under the Exchange Act (17 CFR 240.13e-4(c))</w:t>
            </w:r>
          </w:p>
        </w:tc>
      </w:tr>
    </w:tbl>
    <w:p>
      <w:pPr>
        <w:pStyle w:val="TextBody"/>
        <w:bidi w:val="0"/>
        <w:spacing w:lineRule="auto" w:line="288" w:before="100" w:after="283"/>
        <w:jc w:val="both"/>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8511" w:type="dxa"/>
        <w:jc w:val="center"/>
        <w:tblInd w:w="0" w:type="dxa"/>
        <w:tblLayout w:type="fixed"/>
        <w:tblCellMar>
          <w:top w:w="28" w:type="dxa"/>
          <w:left w:w="28" w:type="dxa"/>
          <w:bottom w:w="28" w:type="dxa"/>
          <w:right w:w="28" w:type="dxa"/>
        </w:tblCellMar>
      </w:tblPr>
      <w:tblGrid>
        <w:gridCol w:w="872"/>
        <w:gridCol w:w="766"/>
        <w:gridCol w:w="776"/>
        <w:gridCol w:w="109"/>
        <w:gridCol w:w="109"/>
        <w:gridCol w:w="109"/>
        <w:gridCol w:w="519"/>
        <w:gridCol w:w="519"/>
        <w:gridCol w:w="521"/>
        <w:gridCol w:w="109"/>
        <w:gridCol w:w="109"/>
        <w:gridCol w:w="109"/>
        <w:gridCol w:w="1135"/>
        <w:gridCol w:w="1135"/>
        <w:gridCol w:w="1614"/>
      </w:tblGrid>
      <w:tr>
        <w:trPr/>
        <w:tc>
          <w:tcPr>
            <w:tcW w:w="872"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TDG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bl>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60" w:after="100"/>
        <w:jc w:val="both"/>
        <w:rPr/>
      </w:pPr>
      <w:r>
        <w:rPr>
          <w:rFonts w:ascii="Times New Roman;serif" w:hAnsi="Times New Roman;serif"/>
          <w:b w:val="false"/>
          <w:color w:val="000000"/>
          <w:sz w:val="18"/>
        </w:rPr>
        <w:t xml:space="preserve">Emerging Growth Company </w:t>
      </w:r>
      <w:r>
        <w:rPr>
          <w:color w:val="000000"/>
        </w:rPr>
        <w:t xml:space="preserve">☐ </w:t>
      </w:r>
    </w:p>
    <w:p>
      <w:pPr>
        <w:pStyle w:val="TextBody"/>
        <w:bidi w:val="0"/>
        <w:spacing w:lineRule="auto" w:line="288" w:before="60" w:after="180"/>
        <w:jc w:val="both"/>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43"/>
        <w:gridCol w:w="300"/>
        <w:gridCol w:w="302"/>
        <w:gridCol w:w="2710"/>
        <w:gridCol w:w="2710"/>
        <w:gridCol w:w="3840"/>
      </w:tblGrid>
      <w:tr>
        <w:trPr/>
        <w:tc>
          <w:tcPr>
            <w:tcW w:w="343"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710" w:type="dxa"/>
            <w:tcBorders/>
            <w:vAlign w:val="center"/>
          </w:tcPr>
          <w:p>
            <w:pPr>
              <w:pStyle w:val="TableContents"/>
              <w:bidi w:val="0"/>
              <w:spacing w:before="0" w:after="283"/>
              <w:jc w:val="left"/>
              <w:rPr>
                <w:sz w:val="4"/>
                <w:szCs w:val="4"/>
              </w:rPr>
            </w:pPr>
            <w:r>
              <w:rPr>
                <w:sz w:val="4"/>
                <w:szCs w:val="4"/>
              </w:rPr>
            </w:r>
          </w:p>
        </w:tc>
        <w:tc>
          <w:tcPr>
            <w:tcW w:w="2710" w:type="dxa"/>
            <w:tcBorders/>
            <w:vAlign w:val="center"/>
          </w:tcPr>
          <w:p>
            <w:pPr>
              <w:pStyle w:val="TableContents"/>
              <w:bidi w:val="0"/>
              <w:spacing w:before="0" w:after="283"/>
              <w:jc w:val="left"/>
              <w:rPr>
                <w:sz w:val="4"/>
                <w:szCs w:val="4"/>
              </w:rPr>
            </w:pPr>
            <w:r>
              <w:rPr>
                <w:sz w:val="4"/>
                <w:szCs w:val="4"/>
              </w:rPr>
            </w:r>
          </w:p>
        </w:tc>
        <w:tc>
          <w:tcPr>
            <w:tcW w:w="3840" w:type="dxa"/>
            <w:tcBorders/>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5.02.</w:t>
            </w:r>
          </w:p>
        </w:tc>
        <w:tc>
          <w:tcPr>
            <w:tcW w:w="92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Departure of Directors or Certain Officers; Election of Directors; Appointment of Certain Officers; Compensatory Arrangements of Certain Officers.</w:t>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July 22, 2026, the Board of Directors (the “Board”) of TransDigm Group Incorporated (the “Company” or “TransDigm”) appointed Irina Krasik to the Company’s Board of Directors, effective immediately.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Ms. Krasik has been with Stellex Capital Management since 2021 and serves as a Managing Director. Prior to joining Stellex Capital Management, she was a Principal at Bregal Investments and previously spent more than eight years at The Wicks Group in various investment roles. Earlier in her career, Ms. Krasik held positions at The Carlyle Group and Merrill Lynch. She currently serves on the boards of directors of several privately held companies and brings to the Board extensive experience in mergers and acquisitions, investing, corporate strategy and governance. Ms. Krasik holds an M.B.A. from Harvard Business School and a B.S. in Finance from Rutgers University.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Ms. Krasik has not been appointed to any committees of the Board.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There are no arrangements or understandings between Ms. Krasik and any other person pursuant to which she was selected as a director, and there are no related person transactions between Ms. Krasik and the Company that would be reportable under Item 404(a) of Regulation S-K. Ms. Krasik will receive compensation for her services on the Company’s Board of Directors in accordance with the Company’s standard compensation arrangements for non-employee directors as set forth in the Company’s proxy statement for its 2026 annual meeting.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SIGNATURE</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7365" w:type="dxa"/>
        <w:jc w:val="left"/>
        <w:tblInd w:w="0" w:type="dxa"/>
        <w:tblLayout w:type="fixed"/>
        <w:tblCellMar>
          <w:top w:w="28" w:type="dxa"/>
          <w:left w:w="28" w:type="dxa"/>
          <w:bottom w:w="28" w:type="dxa"/>
          <w:right w:w="28" w:type="dxa"/>
        </w:tblCellMar>
      </w:tblPr>
      <w:tblGrid>
        <w:gridCol w:w="318"/>
        <w:gridCol w:w="279"/>
        <w:gridCol w:w="279"/>
        <w:gridCol w:w="279"/>
        <w:gridCol w:w="279"/>
        <w:gridCol w:w="279"/>
        <w:gridCol w:w="279"/>
        <w:gridCol w:w="279"/>
        <w:gridCol w:w="279"/>
        <w:gridCol w:w="1387"/>
        <w:gridCol w:w="1387"/>
        <w:gridCol w:w="2041"/>
      </w:tblGrid>
      <w:tr>
        <w:trPr/>
        <w:tc>
          <w:tcPr>
            <w:tcW w:w="31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r>
      <w:tr>
        <w:trPr/>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TRANSDIGM GROUP INCORPORATED</w:t>
            </w:r>
          </w:p>
        </w:tc>
      </w:tr>
      <w:tr>
        <w:trPr/>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5"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/s/ Armani Vadiee</w:t>
            </w:r>
          </w:p>
        </w:tc>
      </w:tr>
      <w:tr>
        <w:trPr/>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Name:</w:t>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Armani Vadiee</w:t>
            </w:r>
          </w:p>
        </w:tc>
      </w:tr>
      <w:tr>
        <w:trPr/>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Title:</w:t>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Counsel, Chief Compliance Officer and Secretary</w:t>
            </w:r>
          </w:p>
        </w:tc>
      </w:tr>
      <w:tr>
        <w:trPr/>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5"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Dated: July 24, 2026</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603</Words>
  <Characters>3357</Characters>
  <CharactersWithSpaces>3901</CharactersWithSpaces>
  <Paragraphs>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