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10-K </w:t>
      </w:r>
    </w:p>
    <w:tbl>
      <w:tblPr>
        <w:tblW w:w="9207" w:type="dxa"/>
        <w:jc w:val="center"/>
        <w:tblInd w:w="0" w:type="dxa"/>
        <w:tblLayout w:type="fixed"/>
        <w:tblCellMar>
          <w:top w:w="28" w:type="dxa"/>
          <w:left w:w="28" w:type="dxa"/>
          <w:bottom w:w="28" w:type="dxa"/>
          <w:right w:w="28" w:type="dxa"/>
        </w:tblCellMar>
      </w:tblPr>
      <w:tblGrid>
        <w:gridCol w:w="124"/>
        <w:gridCol w:w="109"/>
        <w:gridCol w:w="109"/>
        <w:gridCol w:w="2594"/>
        <w:gridCol w:w="2594"/>
        <w:gridCol w:w="36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September 30, 2025 </w:t>
      </w:r>
    </w:p>
    <w:tbl>
      <w:tblPr>
        <w:tblW w:w="9492" w:type="dxa"/>
        <w:jc w:val="center"/>
        <w:tblInd w:w="0" w:type="dxa"/>
        <w:tblLayout w:type="fixed"/>
        <w:tblCellMar>
          <w:top w:w="28" w:type="dxa"/>
          <w:left w:w="28" w:type="dxa"/>
          <w:bottom w:w="28" w:type="dxa"/>
          <w:right w:w="28" w:type="dxa"/>
        </w:tblCellMar>
      </w:tblPr>
      <w:tblGrid>
        <w:gridCol w:w="124"/>
        <w:gridCol w:w="109"/>
        <w:gridCol w:w="109"/>
        <w:gridCol w:w="2679"/>
        <w:gridCol w:w="2679"/>
        <w:gridCol w:w="37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37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001-32833 </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TransDigm Group Incorporated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41-2101738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 Identification No.)</w:t>
      </w:r>
    </w:p>
    <w:tbl>
      <w:tblPr>
        <w:tblW w:w="5741" w:type="dxa"/>
        <w:jc w:val="center"/>
        <w:tblInd w:w="0" w:type="dxa"/>
        <w:tblLayout w:type="fixed"/>
        <w:tblCellMar>
          <w:top w:w="28" w:type="dxa"/>
          <w:left w:w="28" w:type="dxa"/>
          <w:bottom w:w="28" w:type="dxa"/>
          <w:right w:w="28" w:type="dxa"/>
        </w:tblCellMar>
      </w:tblPr>
      <w:tblGrid>
        <w:gridCol w:w="674"/>
        <w:gridCol w:w="592"/>
        <w:gridCol w:w="594"/>
        <w:gridCol w:w="344"/>
        <w:gridCol w:w="344"/>
        <w:gridCol w:w="346"/>
        <w:gridCol w:w="334"/>
        <w:gridCol w:w="334"/>
        <w:gridCol w:w="336"/>
        <w:gridCol w:w="175"/>
        <w:gridCol w:w="175"/>
        <w:gridCol w:w="176"/>
        <w:gridCol w:w="109"/>
        <w:gridCol w:w="109"/>
        <w:gridCol w:w="109"/>
        <w:gridCol w:w="290"/>
        <w:gridCol w:w="290"/>
        <w:gridCol w:w="41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1350 Euclid Avenue,</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Suite 1600,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Cleveland,</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44115</w:t>
            </w:r>
          </w:p>
        </w:tc>
      </w:tr>
      <w:tr>
        <w:trPr/>
        <w:tc>
          <w:tcPr>
            <w:tcW w:w="442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(216) 706-2960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9137" w:type="dxa"/>
        <w:jc w:val="center"/>
        <w:tblInd w:w="0" w:type="dxa"/>
        <w:tblLayout w:type="fixed"/>
        <w:tblCellMar>
          <w:top w:w="28" w:type="dxa"/>
          <w:left w:w="28" w:type="dxa"/>
          <w:bottom w:w="28" w:type="dxa"/>
          <w:right w:w="28" w:type="dxa"/>
        </w:tblCellMar>
      </w:tblPr>
      <w:tblGrid>
        <w:gridCol w:w="875"/>
        <w:gridCol w:w="770"/>
        <w:gridCol w:w="770"/>
        <w:gridCol w:w="293"/>
        <w:gridCol w:w="293"/>
        <w:gridCol w:w="293"/>
        <w:gridCol w:w="475"/>
        <w:gridCol w:w="475"/>
        <w:gridCol w:w="475"/>
        <w:gridCol w:w="293"/>
        <w:gridCol w:w="293"/>
        <w:gridCol w:w="293"/>
        <w:gridCol w:w="1037"/>
        <w:gridCol w:w="1037"/>
        <w:gridCol w:w="1465"/>
      </w:tblGrid>
      <w:tr>
        <w:trPr/>
        <w:tc>
          <w:tcPr>
            <w:tcW w:w="87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9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TDG</w:t>
            </w:r>
          </w:p>
        </w:tc>
        <w:tc>
          <w:tcPr>
            <w:tcW w:w="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12(g) of the Act:</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40" w:after="283"/>
        <w:jc w:val="both"/>
        <w:rPr/>
      </w:pPr>
      <w:r>
        <w:rPr>
          <w:rFonts w:ascii="Times New Roman;serif" w:hAnsi="Times New Roman;serif"/>
          <w:b w:val="false"/>
          <w:color w:val="000000"/>
          <w:sz w:val="18"/>
        </w:rPr>
        <w:t>Indicate by check mark if the registrant is a well-known seasoned issuer, as defined in Rule 405 of the Securities Act.</w:t>
      </w:r>
      <w:r>
        <w:rPr>
          <w:color w:val="000000"/>
        </w:rPr>
        <w:t>    </w:t>
      </w:r>
      <w:r>
        <w:rPr>
          <w:rFonts w:ascii="Times New Roman;serif" w:hAnsi="Times New Roman;serif"/>
          <w:b w:val="false"/>
          <w:color w:val="000000"/>
          <w:sz w:val="18"/>
        </w:rPr>
        <w:t>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40" w:after="283"/>
        <w:jc w:val="both"/>
        <w:rPr/>
      </w:pPr>
      <w:r>
        <w:rPr>
          <w:rFonts w:ascii="Times New Roman;serif" w:hAnsi="Times New Roman;serif"/>
          <w:b w:val="false"/>
          <w:color w:val="000000"/>
          <w:sz w:val="18"/>
        </w:rPr>
        <w:t>Indicate by check mark if the registrant is not required to file reports pursuant to Section 13 or Section 15(d) of the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40" w:after="283"/>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40" w:after="283"/>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erif" w:hAnsi="Times New Roman;serif"/>
          <w:b w:val="false"/>
          <w:color w:val="000000"/>
          <w:sz w:val="18"/>
        </w:rPr>
        <w:t>No  </w:t>
      </w:r>
      <w:r>
        <w:rPr>
          <w:color w:val="000000"/>
        </w:rPr>
        <w:t>☐</w:t>
      </w:r>
    </w:p>
    <w:tbl>
      <w:tblPr>
        <w:tblW w:w="10205" w:type="dxa"/>
        <w:jc w:val="left"/>
        <w:tblInd w:w="0" w:type="dxa"/>
        <w:tblLayout w:type="fixed"/>
        <w:tblCellMar>
          <w:top w:w="28" w:type="dxa"/>
          <w:left w:w="28" w:type="dxa"/>
          <w:bottom w:w="28" w:type="dxa"/>
          <w:right w:w="28" w:type="dxa"/>
        </w:tblCellMar>
      </w:tblPr>
      <w:tblGrid>
        <w:gridCol w:w="1327"/>
        <w:gridCol w:w="587"/>
        <w:gridCol w:w="587"/>
        <w:gridCol w:w="587"/>
        <w:gridCol w:w="587"/>
        <w:gridCol w:w="587"/>
        <w:gridCol w:w="587"/>
        <w:gridCol w:w="587"/>
        <w:gridCol w:w="587"/>
        <w:gridCol w:w="993"/>
        <w:gridCol w:w="587"/>
        <w:gridCol w:w="587"/>
        <w:gridCol w:w="587"/>
        <w:gridCol w:w="587"/>
        <w:gridCol w:w="841"/>
      </w:tblGrid>
      <w:tr>
        <w:trPr/>
        <w:tc>
          <w:tcPr>
            <w:tcW w:w="132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or smaller reporting company or an emerging growth company. See the definitions of “large accelerated filer,” “accelerated filer,” “smaller reporting company” and “emerging growth company” in Rule 12b-2 of the Exchange Act.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201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1761"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2015"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2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1761"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21"/>
        <w:gridCol w:w="810"/>
        <w:gridCol w:w="810"/>
        <w:gridCol w:w="810"/>
        <w:gridCol w:w="810"/>
        <w:gridCol w:w="810"/>
        <w:gridCol w:w="810"/>
        <w:gridCol w:w="810"/>
        <w:gridCol w:w="810"/>
        <w:gridCol w:w="810"/>
        <w:gridCol w:w="810"/>
        <w:gridCol w:w="810"/>
        <w:gridCol w:w="109"/>
        <w:gridCol w:w="109"/>
        <w:gridCol w:w="156"/>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12"/>
            <w:tcBorders/>
            <w:tcMar>
              <w:top w:w="0" w:type="dxa"/>
              <w:left w:w="0" w:type="dxa"/>
              <w:bottom w:w="0" w:type="dxa"/>
              <w:right w:w="0" w:type="dxa"/>
            </w:tcMar>
            <w:vAlign w:val="center"/>
          </w:tcPr>
          <w:p>
            <w:pPr>
              <w:pStyle w:val="TableContents"/>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12"/>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p>
        </w:tc>
        <w:tc>
          <w:tcPr>
            <w:tcW w:w="374" w:type="dxa"/>
            <w:gridSpan w:val="3"/>
            <w:tcBorders/>
            <w:tcMar>
              <w:top w:w="0" w:type="dxa"/>
              <w:left w:w="0" w:type="dxa"/>
              <w:bottom w:w="0" w:type="dxa"/>
              <w:right w:w="0" w:type="dxa"/>
            </w:tcMar>
            <w:vAlign w:val="center"/>
          </w:tcPr>
          <w:p>
            <w:pPr>
              <w:pStyle w:val="TableContents"/>
              <w:bidi w:val="0"/>
              <w:spacing w:lineRule="auto" w:line="240" w:before="240" w:after="283"/>
              <w:jc w:val="center"/>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rFonts w:ascii="Wingdings;sans-serif" w:hAnsi="Wingdings;sans-serif"/>
          <w:b w:val="false"/>
          <w:color w:val="000000"/>
          <w:sz w:val="18"/>
        </w:rPr>
        <w:t>x</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the voting and non-voting common stock held by non-affiliates of the registrant as of March 28, 2025, based upon the last sale price of such voting and non-voting common stock on that date, was $76,426,902,522.</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The number of shares outstanding of TransDigm Group Incorporated’s common stock, par value $.01 per share, was 56,318,584 as of October 31, 2025.</w:t>
      </w:r>
    </w:p>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Documents incorporated by reference: Certain sections of the registrant’s definitive Proxy Statement to be filed in connection with its 2026 Annual Meeting of Shareholders expected to be held on March 5, 2026 are incorporated by reference into Part III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7"/>
        <w:gridCol w:w="295"/>
        <w:gridCol w:w="284"/>
        <w:gridCol w:w="3013"/>
        <w:gridCol w:w="2887"/>
        <w:gridCol w:w="2876"/>
        <w:gridCol w:w="149"/>
        <w:gridCol w:w="149"/>
        <w:gridCol w:w="215"/>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6">
              <w:r>
                <w:rPr>
                  <w:rStyle w:val="InternetLink"/>
                  <w:rFonts w:ascii="Times New Roman;serif" w:hAnsi="Times New Roman;serif"/>
                  <w:b w:val="false"/>
                  <w:color w:val="0000FF"/>
                  <w:sz w:val="20"/>
                  <w:u w:val="single"/>
                </w:rPr>
                <w:t>ITEM 1</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6">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6">
              <w:r>
                <w:rPr>
                  <w:rStyle w:val="InternetLink"/>
                  <w:rFonts w:ascii="Times New Roman;serif" w:hAnsi="Times New Roman;serif"/>
                  <w:b w:val="false"/>
                  <w:color w:val="0000FF"/>
                  <w:sz w:val="20"/>
                  <w:u w:val="single"/>
                </w:rPr>
                <w:t>1</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9">
              <w:r>
                <w:rPr>
                  <w:rStyle w:val="InternetLink"/>
                  <w:rFonts w:ascii="Times New Roman;serif" w:hAnsi="Times New Roman;serif"/>
                  <w:b w:val="false"/>
                  <w:color w:val="0000FF"/>
                  <w:sz w:val="20"/>
                  <w:u w:val="single"/>
                </w:rPr>
                <w:t>ITEM 1A</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9">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9">
              <w:r>
                <w:rPr>
                  <w:rStyle w:val="InternetLink"/>
                  <w:rFonts w:ascii="Times New Roman;serif" w:hAnsi="Times New Roman;serif"/>
                  <w:b w:val="false"/>
                  <w:color w:val="0000FF"/>
                  <w:sz w:val="20"/>
                  <w:u w:val="single"/>
                </w:rPr>
                <w:t>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2">
              <w:r>
                <w:rPr>
                  <w:rStyle w:val="InternetLink"/>
                  <w:rFonts w:ascii="Times New Roman;serif" w:hAnsi="Times New Roman;serif"/>
                  <w:b w:val="false"/>
                  <w:color w:val="0000FF"/>
                  <w:sz w:val="20"/>
                  <w:u w:val="single"/>
                </w:rPr>
                <w:t>ITEM 1B</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2">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22">
              <w:r>
                <w:rPr>
                  <w:rStyle w:val="InternetLink"/>
                  <w:rFonts w:ascii="Times New Roman;serif" w:hAnsi="Times New Roman;serif"/>
                  <w:b w:val="false"/>
                  <w:color w:val="0000FF"/>
                  <w:sz w:val="20"/>
                  <w:u w:val="single"/>
                </w:rPr>
                <w:t>14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5">
              <w:r>
                <w:rPr>
                  <w:rStyle w:val="InternetLink"/>
                  <w:rFonts w:ascii="Times New Roman;serif" w:hAnsi="Times New Roman;serif"/>
                  <w:b w:val="false"/>
                  <w:color w:val="0000FF"/>
                  <w:sz w:val="20"/>
                  <w:u w:val="single"/>
                </w:rPr>
                <w:t>ITEM 1C</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5">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25">
              <w:r>
                <w:rPr>
                  <w:rStyle w:val="InternetLink"/>
                  <w:rFonts w:ascii="Times New Roman;serif" w:hAnsi="Times New Roman;serif"/>
                  <w:b w:val="false"/>
                  <w:color w:val="0000FF"/>
                  <w:sz w:val="20"/>
                  <w:u w:val="single"/>
                </w:rPr>
                <w:t>14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8">
              <w:r>
                <w:rPr>
                  <w:rStyle w:val="InternetLink"/>
                  <w:rFonts w:ascii="Times New Roman;serif" w:hAnsi="Times New Roman;serif"/>
                  <w:b w:val="false"/>
                  <w:color w:val="0000FF"/>
                  <w:sz w:val="20"/>
                  <w:u w:val="single"/>
                </w:rPr>
                <w:t>ITEM 2</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28">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28">
              <w:r>
                <w:rPr>
                  <w:rStyle w:val="InternetLink"/>
                  <w:rFonts w:ascii="Times New Roman;serif" w:hAnsi="Times New Roman;serif"/>
                  <w:b w:val="false"/>
                  <w:color w:val="0000FF"/>
                  <w:sz w:val="20"/>
                  <w:u w:val="single"/>
                </w:rPr>
                <w:t>15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31">
              <w:r>
                <w:rPr>
                  <w:rStyle w:val="InternetLink"/>
                  <w:rFonts w:ascii="Times New Roman;serif" w:hAnsi="Times New Roman;serif"/>
                  <w:b w:val="false"/>
                  <w:color w:val="0000FF"/>
                  <w:sz w:val="20"/>
                  <w:u w:val="single"/>
                </w:rPr>
                <w:t>ITEM 3</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31">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31">
              <w:r>
                <w:rPr>
                  <w:rStyle w:val="InternetLink"/>
                  <w:rFonts w:ascii="Times New Roman;serif" w:hAnsi="Times New Roman;serif"/>
                  <w:b w:val="false"/>
                  <w:color w:val="0000FF"/>
                  <w:sz w:val="20"/>
                  <w:u w:val="single"/>
                </w:rPr>
                <w:t>15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37">
              <w:r>
                <w:rPr>
                  <w:rStyle w:val="InternetLink"/>
                  <w:rFonts w:ascii="Times New Roman;serif" w:hAnsi="Times New Roman;serif"/>
                  <w:b w:val="false"/>
                  <w:color w:val="0000FF"/>
                  <w:sz w:val="20"/>
                  <w:u w:val="single"/>
                </w:rPr>
                <w:t>ITEM 5</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37">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37">
              <w:r>
                <w:rPr>
                  <w:rStyle w:val="InternetLink"/>
                  <w:rFonts w:ascii="Times New Roman;serif" w:hAnsi="Times New Roman;serif"/>
                  <w:b w:val="false"/>
                  <w:color w:val="0000FF"/>
                  <w:sz w:val="20"/>
                  <w:u w:val="single"/>
                </w:rPr>
                <w:t>15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40">
              <w:r>
                <w:rPr>
                  <w:rStyle w:val="InternetLink"/>
                  <w:rFonts w:ascii="Times New Roman;serif" w:hAnsi="Times New Roman;serif"/>
                  <w:b w:val="false"/>
                  <w:color w:val="0000FF"/>
                  <w:sz w:val="20"/>
                  <w:u w:val="single"/>
                </w:rPr>
                <w:t>ITEM 6</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40">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40">
              <w:r>
                <w:rPr>
                  <w:rStyle w:val="InternetLink"/>
                  <w:rFonts w:ascii="Times New Roman;serif" w:hAnsi="Times New Roman;serif"/>
                  <w:b w:val="false"/>
                  <w:color w:val="0000FF"/>
                  <w:sz w:val="20"/>
                  <w:u w:val="single"/>
                </w:rPr>
                <w:t>17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43">
              <w:r>
                <w:rPr>
                  <w:rStyle w:val="InternetLink"/>
                  <w:rFonts w:ascii="Times New Roman;serif" w:hAnsi="Times New Roman;serif"/>
                  <w:b w:val="false"/>
                  <w:color w:val="0000FF"/>
                  <w:sz w:val="20"/>
                  <w:u w:val="single"/>
                </w:rPr>
                <w:t>ITEM 7</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4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43">
              <w:r>
                <w:rPr>
                  <w:rStyle w:val="InternetLink"/>
                  <w:rFonts w:ascii="Times New Roman;serif" w:hAnsi="Times New Roman;serif"/>
                  <w:b w:val="false"/>
                  <w:color w:val="0000FF"/>
                  <w:sz w:val="20"/>
                  <w:u w:val="single"/>
                </w:rPr>
                <w:t>18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3">
              <w:r>
                <w:rPr>
                  <w:rStyle w:val="InternetLink"/>
                  <w:rFonts w:ascii="Times New Roman;serif" w:hAnsi="Times New Roman;serif"/>
                  <w:b w:val="false"/>
                  <w:color w:val="0000FF"/>
                  <w:sz w:val="20"/>
                  <w:u w:val="single"/>
                </w:rPr>
                <w:t>ITEM 7A</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73">
              <w:r>
                <w:rPr>
                  <w:rStyle w:val="InternetLink"/>
                  <w:rFonts w:ascii="Times New Roman;serif" w:hAnsi="Times New Roman;serif"/>
                  <w:b w:val="false"/>
                  <w:color w:val="0000FF"/>
                  <w:sz w:val="20"/>
                  <w:u w:val="single"/>
                </w:rPr>
                <w:t>34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6">
              <w:r>
                <w:rPr>
                  <w:rStyle w:val="InternetLink"/>
                  <w:rFonts w:ascii="Times New Roman;serif" w:hAnsi="Times New Roman;serif"/>
                  <w:b w:val="false"/>
                  <w:color w:val="0000FF"/>
                  <w:sz w:val="20"/>
                  <w:u w:val="single"/>
                </w:rPr>
                <w:t>ITEM 8</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6">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76">
              <w:r>
                <w:rPr>
                  <w:rStyle w:val="InternetLink"/>
                  <w:rFonts w:ascii="Times New Roman;serif" w:hAnsi="Times New Roman;serif"/>
                  <w:b w:val="false"/>
                  <w:color w:val="0000FF"/>
                  <w:sz w:val="20"/>
                  <w:u w:val="single"/>
                </w:rPr>
                <w:t>34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9">
              <w:r>
                <w:rPr>
                  <w:rStyle w:val="InternetLink"/>
                  <w:rFonts w:ascii="Times New Roman;serif" w:hAnsi="Times New Roman;serif"/>
                  <w:b w:val="false"/>
                  <w:color w:val="0000FF"/>
                  <w:sz w:val="20"/>
                  <w:u w:val="single"/>
                </w:rPr>
                <w:t>ITEM 9</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7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79">
              <w:r>
                <w:rPr>
                  <w:rStyle w:val="InternetLink"/>
                  <w:rFonts w:ascii="Times New Roman;serif" w:hAnsi="Times New Roman;serif"/>
                  <w:b w:val="false"/>
                  <w:color w:val="0000FF"/>
                  <w:sz w:val="20"/>
                  <w:u w:val="single"/>
                </w:rPr>
                <w:t>34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82">
              <w:r>
                <w:rPr>
                  <w:rStyle w:val="InternetLink"/>
                  <w:rFonts w:ascii="Times New Roman;serif" w:hAnsi="Times New Roman;serif"/>
                  <w:b w:val="false"/>
                  <w:color w:val="0000FF"/>
                  <w:sz w:val="20"/>
                  <w:u w:val="single"/>
                </w:rPr>
                <w:t>ITEM 9A</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82">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82">
              <w:r>
                <w:rPr>
                  <w:rStyle w:val="InternetLink"/>
                  <w:rFonts w:ascii="Times New Roman;serif" w:hAnsi="Times New Roman;serif"/>
                  <w:b w:val="false"/>
                  <w:color w:val="0000FF"/>
                  <w:sz w:val="20"/>
                  <w:u w:val="single"/>
                </w:rPr>
                <w:t>35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91">
              <w:r>
                <w:rPr>
                  <w:rStyle w:val="InternetLink"/>
                  <w:rFonts w:ascii="Times New Roman;serif" w:hAnsi="Times New Roman;serif"/>
                  <w:b w:val="false"/>
                  <w:color w:val="0000FF"/>
                  <w:sz w:val="20"/>
                  <w:u w:val="single"/>
                </w:rPr>
                <w:t>ITEM 9B</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91">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91">
              <w:r>
                <w:rPr>
                  <w:rStyle w:val="InternetLink"/>
                  <w:rFonts w:ascii="Times New Roman;serif" w:hAnsi="Times New Roman;serif"/>
                  <w:b w:val="false"/>
                  <w:color w:val="0000FF"/>
                  <w:sz w:val="20"/>
                  <w:u w:val="single"/>
                </w:rPr>
                <w:t>37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0">
              <w:r>
                <w:rPr>
                  <w:rStyle w:val="InternetLink"/>
                  <w:rFonts w:ascii="Times New Roman;serif" w:hAnsi="Times New Roman;serif"/>
                  <w:b w:val="false"/>
                  <w:color w:val="0000FF"/>
                  <w:sz w:val="20"/>
                  <w:u w:val="single"/>
                </w:rPr>
                <w:t>ITEM 10</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0">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00">
              <w:r>
                <w:rPr>
                  <w:rStyle w:val="InternetLink"/>
                  <w:rFonts w:ascii="Times New Roman;serif" w:hAnsi="Times New Roman;serif"/>
                  <w:b w:val="false"/>
                  <w:color w:val="0000FF"/>
                  <w:sz w:val="20"/>
                  <w:u w:val="single"/>
                </w:rPr>
                <w:t>37</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3">
              <w:r>
                <w:rPr>
                  <w:rStyle w:val="InternetLink"/>
                  <w:rFonts w:ascii="Times New Roman;serif" w:hAnsi="Times New Roman;serif"/>
                  <w:b w:val="false"/>
                  <w:color w:val="0000FF"/>
                  <w:sz w:val="20"/>
                  <w:u w:val="single"/>
                </w:rPr>
                <w:t>ITEM 11</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3">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03">
              <w:r>
                <w:rPr>
                  <w:rStyle w:val="InternetLink"/>
                  <w:rFonts w:ascii="Times New Roman;serif" w:hAnsi="Times New Roman;serif"/>
                  <w:b w:val="false"/>
                  <w:color w:val="0000FF"/>
                  <w:sz w:val="20"/>
                  <w:u w:val="single"/>
                </w:rPr>
                <w:t>38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6">
              <w:r>
                <w:rPr>
                  <w:rStyle w:val="InternetLink"/>
                  <w:rFonts w:ascii="Times New Roman;serif" w:hAnsi="Times New Roman;serif"/>
                  <w:b w:val="false"/>
                  <w:color w:val="0000FF"/>
                  <w:sz w:val="20"/>
                  <w:u w:val="single"/>
                </w:rPr>
                <w:t>ITEM 12</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06">
              <w:r>
                <w:rPr>
                  <w:rStyle w:val="InternetLink"/>
                  <w:rFonts w:ascii="Times New Roman;serif" w:hAnsi="Times New Roman;serif"/>
                  <w:b w:val="false"/>
                  <w:color w:val="0000FF"/>
                  <w:sz w:val="20"/>
                  <w:u w:val="single"/>
                </w:rPr>
                <w:t>38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9">
              <w:r>
                <w:rPr>
                  <w:rStyle w:val="InternetLink"/>
                  <w:rFonts w:ascii="Times New Roman;serif" w:hAnsi="Times New Roman;serif"/>
                  <w:b w:val="false"/>
                  <w:color w:val="0000FF"/>
                  <w:sz w:val="20"/>
                  <w:u w:val="single"/>
                </w:rPr>
                <w:t>ITEM 13</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09">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09">
              <w:r>
                <w:rPr>
                  <w:rStyle w:val="InternetLink"/>
                  <w:rFonts w:ascii="Times New Roman;serif" w:hAnsi="Times New Roman;serif"/>
                  <w:b w:val="false"/>
                  <w:color w:val="0000FF"/>
                  <w:sz w:val="20"/>
                  <w:u w:val="single"/>
                </w:rPr>
                <w:t>38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12">
              <w:r>
                <w:rPr>
                  <w:rStyle w:val="InternetLink"/>
                  <w:rFonts w:ascii="Times New Roman;serif" w:hAnsi="Times New Roman;serif"/>
                  <w:b w:val="false"/>
                  <w:color w:val="0000FF"/>
                  <w:sz w:val="20"/>
                  <w:u w:val="single"/>
                </w:rPr>
                <w:t>ITEM 14</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12">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12">
              <w:r>
                <w:rPr>
                  <w:rStyle w:val="InternetLink"/>
                  <w:rFonts w:ascii="Times New Roman;serif" w:hAnsi="Times New Roman;serif"/>
                  <w:b w:val="false"/>
                  <w:color w:val="0000FF"/>
                  <w:sz w:val="20"/>
                  <w:u w:val="single"/>
                </w:rPr>
                <w:t>38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18">
              <w:r>
                <w:rPr>
                  <w:rStyle w:val="InternetLink"/>
                  <w:rFonts w:ascii="Times New Roman;serif" w:hAnsi="Times New Roman;serif"/>
                  <w:b w:val="false"/>
                  <w:color w:val="0000FF"/>
                  <w:sz w:val="20"/>
                  <w:u w:val="single"/>
                </w:rPr>
                <w:t>ITEM 15</w:t>
              </w:r>
            </w:hyperlink>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18">
              <w:r>
                <w:rPr>
                  <w:rStyle w:val="InternetLink"/>
                  <w:rFonts w:ascii="Times New Roman;serif" w:hAnsi="Times New Roman;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18">
              <w:r>
                <w:rPr>
                  <w:rStyle w:val="InternetLink"/>
                  <w:rFonts w:ascii="Times New Roman;serif" w:hAnsi="Times New Roman;serif"/>
                  <w:b w:val="false"/>
                  <w:color w:val="0000FF"/>
                  <w:sz w:val="20"/>
                  <w:u w:val="single"/>
                </w:rPr>
                <w:t>39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48eacf94acd4c1ca064b10a69770101_124">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24">
              <w:r>
                <w:rPr>
                  <w:rStyle w:val="InternetLink"/>
                  <w:rFonts w:ascii="Times New Roman;serif" w:hAnsi="Times New Roman;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Special Note Regarding Forward-Looking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This Annual Report on Form 10-K contains both historical and “forward-looking statements” within the meaning of Section 21E of the Securities Exchange Act of 1934, as amended (the “Exchange Act”), and 27A of the Securities Act of 1933, as amended. All statements other than statements of historical fact included that address activities, events or developments that we expect, believe or anticipate will or may occur in the future are forward-looking statements, including, in particular, the statements about our plans, objectives, strategies and prospects regarding, among other things, our financial condition, results of operations and business. We have identified some of these forward-looking statements with words like “believe,” “may,” “will,” “should,” “expect,” “intend,” “plan,” “predict,” “anticipate,” “estimate” or “continue” and other words and terms of similar meaning. These forward-looking statements may be contained throughout this Annual Report on Form 10-K. These forward-looking statements are based on current expectations about future events affecting us and are subject to uncertainties and factors relating to, among other things, our operations and business environment, all of which are difficult to predict and many of which are beyond our control. Many factors mentioned in our discussion in this Annual Report on Form 10-K, including the risks outlined under “Risk Factors,” will be important in determining future results. Although we believe that the expectations reflected in these forward-looking statements are reasonable, we do not know whether our expectations will prove correct. They can be affected by inaccurate assumptions we might make or by known or unknown risks and uncertainties, including the risks outlined under “Risk Factors” in this Annual Report on Form 10-K. Since our actual results, performance or achievements could differ materially from those expressed in, or implied by, these forward-looking statements, we cannot give any assurance that any of the events anticipated by these forward-looking statements will occur or, if any of them does occur, what impact they will have on our business, results of operations and financial condition. You are cautioned not to place undue reliance on these forward-looking statements, which speak only as of the date they are made. We do not undertake any obligation to update these forward-looking statements or the risk factors contained in this Annual Report on Form 10-K to reflect new information, future events or otherwise, except as may be required under federal securities laws.</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that could cause actual results to differ materially from the forward-looking statements made in this Annual Report on Form 10-K include but are not limited to: the sensitivity of our business to the number of flight hours that our customers’ planes spend aloft and our customers’ profitability, both of which are affected by general economic conditions; supply chain constraints; increases in raw material costs, taxes and labor costs that cannot be recovered in product pricing; failure to complete or successfully integrate acquisitions; our indebtedness; current and future geopolitical or other worldwide events, including, without limitation, wars or conflicts and public health crises; cybersecurity threats; risks related to the transition or physical impacts of climate change and other natural disasters or meeting regulatory requirements; our reliance on certain customers; the United States (“U.S.”) defense budget and risks associated with being a government supplier including government audits and investigations; failure to maintain government or industry approvals; risks related to changes in laws and regulations, including increases in compliance costs and potential changes in trade policies and tariffs; potential environmental liabilities; liabilities arising in connection with litigation; risks and costs associated with our international sales and operations; and other factors.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this report, the term “TD Group” refers to TransDigm Group Incorporated, which holds all of the outstanding capital stock of TransDigm Inc. The terms “Company,” “TransDigm,” “we,” “us,” “our” and similar terms, unless the context otherwise requires, refer to TD Group, together with TransDigm Inc. and its wholly-owned and majority-owned subsidiaries for which it has a controlling interest. References to “fiscal year” mean the year ending or ended September 30. For example, “fiscal year 2025” or “fiscal 2025” means the period from October 1, 2024 to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TD Group, through its wholly-owned subsidiary, TransDigm Inc., is a leading global designer, producer and supplier of highly engineered aircraft components that are critical to the safe and effective operation of nearly all commercial and military aircraft worldwide. Our products are represented in nearly every commercial and military aircraft in service today. Our business is well diversified due to the broad range of products we offer to our customers. We estimate that approximately 90% of our net sales for fiscal year 2025 were generated by proprietary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Most of our products generate significant aftermarket revenue. Once our parts are designed into and sold on a new aircraft, we generate net sales from aftermarket consumption over the life of that aircraft, which is generally estimated to be approximately 25 to 30 years. A typical platform can be produced for 20 to 30 years, giving us an estimated product life cycle in excess of 50 years. We estimate that approximately 55% of our net sales in fiscal year 2025 were generated from the aftermarket, the vast majority of which come from the commercial and military aftermarkets. Historically, these aftermarket revenues have produced a higher gross profit and have been more stable than net sales to original equipment manufacturers (“OEMs”).</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strategy is made up of two key strengths: (1) successful execution of our value-driven operating strategy focused around our three core value drivers and (2) a selective acquisition strategy.</w:t>
      </w:r>
    </w:p>
    <w:p>
      <w:pPr>
        <w:pStyle w:val="TextBody"/>
        <w:bidi w:val="0"/>
        <w:spacing w:lineRule="auto" w:line="288" w:before="120" w:after="283"/>
        <w:ind w:left="0" w:right="0" w:firstLine="495"/>
        <w:jc w:val="both"/>
        <w:rPr/>
      </w:pPr>
      <w:r>
        <w:rPr>
          <w:rFonts w:ascii="Times New Roman;serif" w:hAnsi="Times New Roman;serif"/>
          <w:b/>
          <w:i/>
          <w:color w:val="000000"/>
          <w:sz w:val="20"/>
        </w:rPr>
        <w:t>Value-Driven Operating Strategy.</w:t>
      </w:r>
      <w:r>
        <w:rPr>
          <w:color w:val="000000"/>
        </w:rPr>
        <w:t xml:space="preserve"> </w:t>
      </w:r>
      <w:r>
        <w:rPr>
          <w:rFonts w:ascii="Times New Roman;serif" w:hAnsi="Times New Roman;serif"/>
          <w:b w:val="false"/>
          <w:color w:val="000000"/>
          <w:sz w:val="20"/>
        </w:rPr>
        <w:t>Our three core value drivers 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Obtaining Profitable New Business.</w:t>
      </w:r>
      <w:r>
        <w:rPr>
          <w:color w:val="000000"/>
        </w:rPr>
        <w:t xml:space="preserve"> </w:t>
      </w:r>
      <w:r>
        <w:rPr>
          <w:rFonts w:ascii="Times New Roman;serif" w:hAnsi="Times New Roman;serif"/>
          <w:b w:val="false"/>
          <w:color w:val="000000"/>
          <w:sz w:val="20"/>
        </w:rPr>
        <w:t>We attempt to obtain profitable new business by using our technical expertise and application skill and our detailed knowledge of our customer base and the individual niche markets in which we operate. We have regularly been successful in identifying and developing both aftermarket and OEM products to drive our growth.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Improving Our Cost Structure.</w:t>
      </w:r>
      <w:r>
        <w:rPr>
          <w:color w:val="000000"/>
        </w:rPr>
        <w:t xml:space="preserve"> </w:t>
      </w:r>
      <w:r>
        <w:rPr>
          <w:rFonts w:ascii="Times New Roman;serif" w:hAnsi="Times New Roman;serif"/>
          <w:b w:val="false"/>
          <w:color w:val="000000"/>
          <w:sz w:val="20"/>
        </w:rPr>
        <w:t>We are committed to maintaining and continuously improving our lean cost structure through detailed attention to the cost of each of the products that we offer and our organizational structure, with a focus on reducing the cost of each.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Providing Highly Engineered Value-Added Products to Customers.</w:t>
      </w:r>
      <w:r>
        <w:rPr>
          <w:color w:val="000000"/>
        </w:rPr>
        <w:t xml:space="preserve"> </w:t>
      </w:r>
      <w:r>
        <w:rPr>
          <w:rFonts w:ascii="Times New Roman;serif" w:hAnsi="Times New Roman;serif"/>
          <w:b w:val="false"/>
          <w:color w:val="000000"/>
          <w:sz w:val="20"/>
        </w:rPr>
        <w:t>We focus on the engineering, manufacturing and marketing of a broad range of highly engineered niche products that we believe provide value to our customers. We believe we have been consistently successful in communicating to our customers the value of our products. This has generally enabled us to price our products to fairly reflect the value we provide and the resources required to do so.</w:t>
      </w:r>
    </w:p>
    <w:p>
      <w:pPr>
        <w:pStyle w:val="TextBody"/>
        <w:bidi w:val="0"/>
        <w:spacing w:lineRule="auto" w:line="288" w:before="120" w:after="283"/>
        <w:jc w:val="both"/>
        <w:rPr/>
      </w:pPr>
      <w:r>
        <w:rPr>
          <w:rFonts w:ascii="Times New Roman;serif" w:hAnsi="Times New Roman;serif"/>
          <w:b/>
          <w:i/>
          <w:color w:val="000000"/>
          <w:sz w:val="20"/>
        </w:rPr>
        <w:t>Selective Acquisition Strategy.</w:t>
      </w:r>
      <w:r>
        <w:rPr>
          <w:color w:val="000000"/>
        </w:rPr>
        <w:t xml:space="preserve"> </w:t>
      </w:r>
      <w:r>
        <w:rPr>
          <w:rFonts w:ascii="Times New Roman;serif" w:hAnsi="Times New Roman;serif"/>
          <w:b w:val="false"/>
          <w:color w:val="000000"/>
          <w:sz w:val="20"/>
        </w:rPr>
        <w:t>We maintain a selective acquisition strategy, concentrating on proprietary commercial aerospace component businesses with significant aftermarket content where we see a clear path to value creation through the application of our three core value drivers. The integration of acquisitions into our existing businesses combined with implementing our proven operating strategy has historically resulted in improvements in the financial performance of the acquired businesses. Since the inception of our company in 1993, we have acquired 95 businesses and various product lines. Refer to Note 2, “Acquisitions,” in the notes to the consolidated financial statements included herein for information on the recent acquisitions.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primarily design, produce and supply highly engineered proprietary aerospace components with significant aftermarket content. We seek to develop highly customized products to solve specific needs for aircraft operators and manufacturers. We attempt to differentiate ourselves from our competitors by producing highly engineered products with high quality, reliability and timely delivery. Our proprietary products, and particularly our new product initiatives, are designed by our engineers and are intended to serve the needs of the aircraft component industry. These proprietary designs must withstand the extraordinary conditions and stresses that will be endured by products during use and meet the rigorous demands of our customers’ tolerance and quality requirements. Our portfolio of products encompasses a vast array of essential components that play pivotal roles on commercial aerospace and defense platforms, as well as other products. For example, TransDigm’s operating units make aircraft seatbelts and cockpit security systems that keep passengers and pilots safe; parachutes that protect military personnel; and specialized equipment for the National Aeronautics and Space Administration’s (“NASA”) space telescopes, aiding in space exploration and scientific advancement.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engineering costs are recorded in cost of sales and in selling and administrative expenses within our consolidated statements of income. Research and development costs are recorded in selling and administrative expenses within our consolidated statements of income. Refer to Note 1, “Summary of Significant Accounting Policies,” in the notes to the consolidated financial statements included herein with respect to the total costs of research and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businesses are organized and managed in three reporting segments: Power &amp; Control, Airframe and Non-aviation.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Power &amp; Control segment includes operations that primarily develop, produce and market systems and components that predominately provide power to or control power of the aircraft utilizing electronic, fluid, power and mechanical motion control technologies. Major product offerings include mechanical/electromechanical actuators and controls, ignition systems and engine technology, specialized pumps and valves, power conditioning devices, specialized AC/DC electric motors and generators, batteries and chargers, databus and power controls, advanced sensor products, switches and relay panels, high performance hoists, winches and lifting devices, cargo loading, handling, delivery systems and electronic components used in the generation, amplification, transmission and reception of microwave signals. Primary customers of this segment are engine and power system and subsystem suppliers, airlines, third party maintenance suppliers, military buying agencies and repair depots. Products are sold in the original equipment and aftermarket market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engineered rods, engineered connectors and elastomer sealing solutions, cockpit security components and systems, specialized and advanced cockpit displays, engineered audio, radio and antenna systems, specialized lavatory components, seat belts and safety restraints, engineered and customized interior surfaces and related components, thermal protection and insulation, lighting and control technology, parachutes, specialized flight, wind tunnel and jet engine testing services and equipment and complex testing and instrumentation solutions.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hydraulic/electromechanical actuators and fuel valves for land-based gas turbines, and refueling systems for heavy equipment used in mining, construction and other industries and turbine controls for the energy and oil and gas markets. Primary customers of this segment are off-road vehicle suppliers and subsystem suppliers, child restraint system suppliers, satellite and space system suppliers, manufacturers of heavy equipment used in mining, construction and other industries and turbine original equipment manufacturers, gas pipeline builders and electric utilities.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financial information about our segments, refer to Note 15, “Segments,” in the notes to the consolidated financial statements included herein.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predominantly serve customers in the commercial, regional, business jet and general aviation aftermarket, which generally account for 30% to 35% of our annual net sales; the commercial aerospace OEM market, comprising large commercial transport manufacturers and regional and business jet manufacturers, which generally account for 25% to 30% of our annual net sales; and the defense market (which includes defense OEMs and aftermarket sales to the U.S. and friendly foreign governments), which generally account for approximately 35% to 40% of our annual net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customers include: (1) distributors of aerospace components; (2) worldwide commercial airlines, including national and regional airlines; (3) large commercial transport and regional and business aircraft OEMs; (4) various armed forces of the United States and friendly foreign governments; (5) defense OEMs; (6) system suppliers; and (7) various other industrial customers. Our top ten customers for fiscal year 2025 accounted for approximately 40% of our net sales. Products supplied to many of our customers are used on multiple platforms. None of our customers individually accounted for greater than 10% of our net sales for fiscal year 2025. We believe that our diversified revenue base reduces our dependence on any particular product, platform or market channel and has been a significant factor in maintaining our financial performance.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niche markets within the aerospace industry that we serve are relatively fragmented and we face several competitors for many of the products and services we provide. Due to the global nature of the commercial aircraft industry, competition in these categories comes from both U.S. and foreign companies. Competitors in our product offerings range in size from divisions of large public corporations to small privately-held entities with only one or two components in their entire product portfolios.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compete on the basis of engineering, manufacturing and marketing high quality and reliable products, which we believe meet or exceed the performance and maintenance requirements of our customers, consistent and timely delivery, and superior customer service and support. The industry’s stringent regulatory, certification and technical requirements and the investments necessary in the development and certification of products may create disincentives for potential new competitors for certain products. If customers receive products that meet or exceed expectations and performance standards, we believe that they will have a reduced incentive to certify another supplier because of the cost and time of the technical design and testing certification process. In addition, we believe that the availability, dependability and safety of our products are reasons for our customers to continue long-term supplier relationships.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Governmental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commercial aircraft component industry is highly regulated by the Federal Aviation Administration (“FAA”) in the United States and by the European Union Aviation Safety Agency in Europe and other agencies throughout the world, while the military aircraft component industry is governed by military quality specifications. We, and the components we manufacture, are required to be certified by one or more of these entities or agencies, and, in many cases, by individual OEMs, in order to engineer and service parts and components used in specific aircraft models.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must also satisfy the requirements of our customers, including OEMs and airlines that are subject to FAA regulations, and provide these customers with products and services that comply with the government regulations applicable to commercial flight operations. In addition, the FAA and other aviation authorities require that various maintenance routines be performed on aircraft components. We believe that we currently satisfy or exceed these maintenance standards in our repair and overhaul services. We also maintain several FAA-approved repair stations.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our businesses are subject to many other laws and requirements typically applicable to manufacturers and exporters. Without limiting the foregoing, sales of many of our products that will be used on aircraft owned by foreign entities are subject to compliance with export control laws and the manufacture of our products and the operations of our businesses, including the disposal of hazardous wastes, are subject to compliance with applicable environmental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Item 1A. “Risk Factors” for additional information about the impact of government regulations on our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Raw Materials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require the use of various raw materials in our manufacturing processes. We purchase a variety of manufactured component parts from various suppliers. We also purchase replacement parts, which are utilized in our various repair and overhaul operations. At times, we concentrate our orders among a few suppliers in order to strengthen our supplier relationships. Most of our raw materials and component parts are generally available from multiple suppliers at competitive prices.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various trade secrets, proprietary information, trademarks, trade names, patents, copyrights and other intellectual property rights, which we believe, in the aggregate but not individually, are important to our business. The Company's products are manufactured, marketed and sold using a portfolio of patents, trademarks, licenses, and other forms of intellectual property, some of which expire in the future. The Company develops and acquires new intellectual property on an ongoing basis. Based on the broad scope of the Company’s product lines, management believes that the loss or expiration of any single intellectual property right would not have a material effect on our consolidated financial statements.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regarding environmental reserves, refer to Note 13, “Commitments and Contingencies,” in the notes to the consolidated financial statements included herein. Compliance with federal, state, local and foreign environmental laws during fiscal 2025 did not have a material impact on our capital expenditures, results of operations or cash flows. Based upon consideration of currently available information, we believe liabilities for environmental matters will not have a material adverse impact on our consolidated financial statements, but we cannot assure that material environmental liabilities may not arise in the future. For further information on environmental-related risks, including climate change, refer to 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approximately 16,500 full-time, part-time and temporary employees. Approximately 15% of our full-time and part-time employees are represented by labor unions. Collective bargaining agreements between us and these labor unions expire at various dates up to January 2029.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our employees to be our greatest asset. Succession planning and the development, attraction and retention of employees is critical for TransDigm and its operating units to sustain our three core value drivers (obtaining profitable new business, continually improving our cost structure and providing highly engineered value-added products to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established development programs such as TransDigm University to empower internal career progression support the advancement of our employees. We also have established recruiting programs to identify and hire new talent such as the Management Development Program (“MDP”), which involved the recruiting of recent masters program graduates at certain colleges and universities, and the Junior Military Officer (“JMO”) Program, which involves the recruiting of U.S. military veterans.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TransDigm’s executive team also mentors rising talent on a more informal basis. This informal mentorship achieves a number of goals, including accelerating the development of top performers, fosters organizational learning, enhances employee performance and contributes to our retention efforts. The executive team dedicates substantial time to assessing our pool of future leaders, ensuring that we have the people and skills necessary to continue driving our business forward.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offer attractive benefits packages that attract, retain, motivate and reward our talent, and we are committed to providing our employees and their families with programs that support their health and overall well-being. To empower our employees financially, we provide retirement savings plans and opportunities for tax-free savings through flexible spending accounts and health savings accounts. We believe that our compensation programs, including base pay, bonus structures and equity programs, fairly reward our employees for their hard work. Additionally, we understand the importance of maintaining a work-life balance, which is why our employees receive paid time off and enjoy designated holidays.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understand the value in furthering the knowledge and education of our current employee base. In addition to formal and informal employee development programs within TransDigm and our operating units, employees can expand their careers by accessing tuition reimbursement programs. Some operating units also partner with local colleges to provide training courses to TransDigm employees. Access to programs such as these enhance our employees’ value to the Company, our customers and our communities.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TransDigm, we highly value the contributions of diverse perspectives, fresh ideas and varied experiences. Our commitment to diversity and inclusiveness is more than just an organizational goal; it is a fundamental principle that drives innovation, enhances our competitive edge and ultimately leads to better outcomes for all stakeholders. To gauge our progress, we annually review and assess our diversity initiatives and metrics.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Discrimination is not tolerated at TransDigm. We are committed to high ethical standards and equal employment opportunities in all personnel actions without regard to race, color, religion, gender, national origin, citizenship status, age, marital status, gender identity or expression, sexual orientation, physical or mental disability, or veteran status.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focused on establishing, maintaining and operating our facilities, with a strong emphasis on process safety and risk mitigation. Equally, we strive to empower and support our employees in preventing accidents and promoting a healthy work environment. We require our personnel to report and communicate risks, potential hazards, incidents and near misses so that we can investigate and establish appropriate measures to prevent future occurrences. To underscore our commitment to employee safety and well-being, we require each operating unit to individually report environmental, health and safety matters to our executive team monthly.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do not believe our net sales are subject to significant seasonal variation; however, our net sales have generally been lower in the first quarter of our fiscal year compared to the subsequent quarters due to fewer working days resulting from the observance of various holidays.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jc w:val="both"/>
        <w:rPr/>
      </w:pPr>
      <w:r>
        <w:rPr>
          <w:rFonts w:ascii="Times New Roman;serif" w:hAnsi="Times New Roman;serif"/>
          <w:b w:val="false"/>
          <w:color w:val="000000"/>
          <w:sz w:val="20"/>
        </w:rPr>
        <w:t xml:space="preserve">TD Group’s Annual Report on Form 10-K, Quarterly Reports on Form 10-Q and Current Reports on Form 8-K, including any amendments, will be made available free of charge on the Company’s website, </w:t>
      </w:r>
      <w:r>
        <w:rPr>
          <w:rFonts w:ascii="Times New Roman;serif" w:hAnsi="Times New Roman;serif"/>
          <w:b w:val="false"/>
          <w:i/>
          <w:color w:val="000000"/>
          <w:sz w:val="20"/>
        </w:rPr>
        <w:t>www.transdigm.com</w:t>
      </w:r>
      <w:r>
        <w:rPr>
          <w:rFonts w:ascii="Times New Roman;serif" w:hAnsi="Times New Roman;serif"/>
          <w:b w:val="false"/>
          <w:color w:val="000000"/>
          <w:sz w:val="20"/>
        </w:rPr>
        <w:t xml:space="preserve">, as soon as reasonably practicable, following the filing of the reports with the Securities and Exchange Commission (“SEC”). In addition, the Company’s website allows investors and other interested persons to sign up to automatically receive e-mail alerts when news releases and financial information is posted on the website. The SEC also maintains a website, </w:t>
      </w:r>
      <w:r>
        <w:rPr>
          <w:rFonts w:ascii="Times New Roman;serif" w:hAnsi="Times New Roman;serif"/>
          <w:b w:val="false"/>
          <w:i/>
          <w:color w:val="000000"/>
          <w:sz w:val="20"/>
        </w:rPr>
        <w:t>www.sec.gov</w:t>
      </w:r>
      <w:r>
        <w:rPr>
          <w:rFonts w:ascii="Times New Roman;serif" w:hAnsi="Times New Roman;serif"/>
          <w:b w:val="false"/>
          <w:color w:val="000000"/>
          <w:sz w:val="20"/>
        </w:rPr>
        <w:t>, that contains reports, proxy and information statements and other information regarding issuers that file electronically with the SEC. The information on or obtainable through our website is not incorporated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Below are material risks and uncertainties that could negatively affect our business and financial condition and could cause our actual results to differ materially from those expressed in forward-looking statements contained in this report. Additional risks and uncertainties not presently known to us or that we currently deem immaterial also may impair our business operations and financial condition. You should not interpret the disclosure of any risk factor to imply that the risk has not already materialized.</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Strategy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business focuses almost exclusively on the aerospace and defense industry.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period of significant market disruption in the aerospace and defense industry, or other macroeconomic factors, may disproportionately disrupt our business compared to more diversified peer companies.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rely heavily on certain customers for much of our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fiscal year 2025, no customer individually accounted for 10% or more of the Company’s net sales; however, our top ten customers for fiscal year 2025 accounted for approximately 40% of our net sales. A material reduction in purchasing by one of our larger customers for any reason, including but not limited to general economic or aerospace downturns, decreased production, strike or resourcing, could have a material adverse effect on results of operations, financial position and cash flows.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generally do not have guaranteed future sales of our products. Further, when we enter into fixed price contracts with some of our customers, we take the risk for cost overruns.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is customary in our business, we do not generally have long-term contracts with most of our aftermarket customers and, therefore, do not have guaranteed future sales. Although we have long-term contracts with many of our OEM customers, many of those customers may terminate the contracts on short notice and, in most cases, our customers have not committed to buy any minimum quantity of our products. In addition, in certain cases, we must anticipate the future volume of orders based upon the historic purchasing patterns of customers and upon our discussions with customers as to their anticipated future requirements, and this anticipated future volume of orders may not materialize.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have entered into multi-year, fixed-price contracts with some of our customers, pursuant to which we have agreed to perform the work at a fixed price and, accordingly, realize all the benefit or detriment resulting from any decreases or increases in the costs of making these products. This risk is greater in a high inflationary environment. Sometimes we accept a fixed-price contract for a product that we have not previously produced, and this may increase the risk of cost overruns or delays in the completion of the design and manufacturing of the product. Most of our contracts do not permit us to recover increases in raw material prices, taxes or labor costs. Furthermore, entering into fixed-price contracts with the United States Government (“U.S. Government”), particularly for small-quantity or spot purchases made without reliable forecasts, exposes us to the risk of cost overruns and reduced margins if production costs increase or economies of scale cannot be achieved.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intend to pursue acquisitions. Our business may be adversely affected if we cannot consummate acquisitions on satisfactory terms, or if we cannot effectively integrate acquired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growth has occurred through acquisitions. Future growth through acquisitions will be partially dependent upon the continued availability of suitable acquisition candidates at favorable prices and upon advantageous terms and conditions. We intend to pursue acquisitions that we believe will present opportunities consistent with our overall business strategy. However, we may not be able to find suitable acquisition candidates to purchase or may be unable to acquire desired businesses or assets on economically acceptable terms or may be unable to receive necessary regulatory approvals or support. In addition, we may not be able to raise the capital necessary to fund future acquisitions. Because we may actively pursue multiple opportunities simultaneously, we may encounter unforeseen expenses, complications and delays, including regulatory complications or difficulties in employing sufficient staff and maintaining operational and management oversight.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regularly engage in discussions with respect to potential acquisition and investment opportunities. If we consummate an acquisition, our capitalization and results of operations may change significantly. Future acquisitions could result in margin dilution and further likely result in the incurrence of additional debt and contingent liabilities and an increase in interest and amortization expenses or periodic impairment charges related to goodwill and other intangible assets as well as significant charges relating to integration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Acquisitions involve risks that the businesses acquired will not perform in accordance with expectations and that business judgments concerning the value, strengths and weaknesses of businesses acquired will prove incorrect. In addition, we may not be able to successfully integrate any business we acquire into our existing business. The successful integration of new businesses depends on our ability to manage these new businesses and cut excess costs. The successful integration of future acquisitions may also require substantial attention from our senior management and the management of the acquired business, which could decrease the time that they have to service, attract customers and develop new products and services or attend to other acquisition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indebtedness could adversely affect our financial health and could harm our ability to react to changes to our business and prevent us from fulfilling our obligations under our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significant amount of indebtedness and may be able to incur substantial additional indebtedness in the future. Although our senior secured credit facility and the indentures governing the various series of senior secured and senior subordinated notes outstanding (the “Notes”) contain restrictions on the incurrence of additional indebtedness, these restrictions are subject to a number of significant qualifications and exceptions, and the indebtedness incurred in compliance with these qualifications and exceptions could be substantial. A breach of any of the covenants or an inability to comply with the required leverage ratio could result in a default under the senior secured credit facility or the indentures.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 increase in our indebtedness could also have other important consequences to investors. For example, it could: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our vulnerability to general economic downturns and adverse competitive and industry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the risk we are subjected to downgrade or put on a negative watch by the ratings agencies;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 us to dedicate a substantial portion of our cash flows from operations to payments on our indebtedness, thereby reducing the availability of our cash flow to fund working capital requirements, capital expenditures, acquisitions, research and development efforts and other general corporate requirements;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 our flexibility in planning for, or reacting to, changes in our business and the industry in which we operate;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place us at a competitive disadvantage compared to competitors that have less debt;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limit, along with the financial and other restrictive covenants contained in the documents governing our indebtedness, among other things, our ability to borrow additional funds, make investments and incur liens.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term loans under our term loan facility and the trade receivable securitization facility (the “Securitization Facility”) bear interest at variable rates based on the Term Secured Overnight Financing Rate (“Term SOFR”). Accordingly, if Term SOFR increases, our debt service expense will also increase. In order to mitigate the interest rate risk of these variable rate borrowings, we enter into interest rate swap, cap, and collar agreements that cover a significant portion of the existing variable rate debt and may continue do so in the future, subject to market and other conditions.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indebtedness increases the possibility that we may be unable to generate cash sufficient to pay, when due, the principal of, interest on or other amounts due in respect of our indebtedness, including debt under the senior secured credit facility and the Notes. We cannot assure that our business will generate sufficient cash flow from operations or that future borrowings will be available to us under the senior secured credit facility or otherwise in amounts sufficient to enable us to service our indebtedness. If we cannot service our debt, we will have to take actions such as reducing or delaying capital investments, selling assets, restructuring or refinancing our debt or seeking additional equity capital.</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To service our indebtedness, we will require a significant amount of cash. Our ability to generate cash depends on many factors beyond our control and any failure to meet our debt service obligations could harm our business, financial condition and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on and to refinance our indebtedness, including the Notes, amounts borrowed under the senior secured credit facility, amounts due under our Securitization Facility, and to fund our operations, will depend on our ability to generate cash in the future, which, to a certain extent, is subject to general economic, financial, competitive, legislative, regulatory and other factors that are beyond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cannot assure that our business will generate sufficient cash flow from operations, or that future borrowings will be available to us under the senior secured credit facility or otherwise in amounts sufficient to enable us to service our indebtedness, including the amounts borrowed under the senior secured credit facility, amounts borrowed under our Securitization Facility and the Notes, or to fund our other liquidity needs. If we cannot service our debt, we will have to take actions such as reducing or delaying capital investments, selling assets, restructuring or refinancing our debt or seeking additional equity capital. We cannot assure that any of these remedies could, if necessary, be effected on commercially reasonable terms, or at all.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the Securitization Facility, the indentures governing the Notes and the senior secured credit facility may restrict us from adopting any of these alternatives. In addition, any failure to make payments of interest and principal on our outstanding indebtedness on a timely basis would likely result in a reduction of our credit rating, which could harm our ability to incur additional indebtedness on acceptable terms and could otherwise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The terms of the senior secured credit facility and indentures governing the Notes may restrict our current and future operations, particularly our ability to respond to changes or to take certain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senior secured credit facility and the indentures governing the Notes contain a number of restrictive covenants that impose significant operating and financial restrictions on TD Group, TransDigm Inc. and its restricted subsidiaries (in the case of the senior secured credit facility) and TransDigm Inc. and its restricted subsidiaries (in the case of the indentures) and may limit their ability to engage in acts that may be in our long-term best interests. The senior secured credit facility and indentures governing the Notes include covenants restricting, among other things, the ability to (subject, in each case, to certain important exceptions):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or guarantee additional indebtedness or issue preferred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pay distributions on, redeem or repurchase our capital stock or redeem or repurchase our subordinated debt;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make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enter into agreements that restrict distributions or other payments from our restricted subsidiaries to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incur or allow to exist liens;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consolidate, merge or transfer all or substantially all of our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engage in transactions with affiliates;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create unrestricted subsidiaries;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engage in certain business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 default under the senior secured credit facility or the indentures governing the Notes. If any such default occurs, the lenders under the senior secured credit facility and the holders of the Notes may elect to declare all outstanding borrowings, together with accrued interest and other amounts payable thereunder, to be immediately due and payable. The lenders under the senior secured credit facility also have the right in these circumstances to terminate any commitments they have to provide further borrowings. In addition, subject to the terms of an intercreditor agreement, following an event of default under the senior secured credit facility or the indentures governing our various series of outstanding senior secured notes, the lenders thereunder or the holders thereof, as applicable, will have the right to proceed against the collateral granted to them to secure the debt, which includes our available cash, and they will also have the right to prevent us from making debt service payments on the senior subordinated notes. If the debt under the senior secured credit facility or the Notes were to be accelerated, we cannot assure that our assets would be sufficient to repay in full the Notes and other debt.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are dependent on our executive officers, senior management team and highly trained employees and any work stoppage, difficulty hiring similar employees, or ineffective succession planning could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our products are complicated and highly engineered, we depend on an educated and trained workforce. Historically, there has been substantial competition for skilled personnel in the aerospace and defense industry, and we could be adversely affected by a shortage of skilled employees. We may not be able to fill new positions or vacancies created by expansion or turnover or attract and retain qualified personnel. We cannot be assured that we can continue to hire, train and retain qualified employees at current wage rates since we operate in a competitive labor market, and there may be pressures on wages.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that our relations with our employees are satisfactory, we cannot assure that we will be able to negotiate a satisfactory renewal of collective bargaining agreements or that our employee relations will remain stable. Because we strive to limit the volume of finished goods inventory, any work stoppage could materially and adversely affect our ability to provide products to our customers.</w:t>
      </w:r>
    </w:p>
    <w:p>
      <w:pPr>
        <w:pStyle w:val="TextBody"/>
        <w:bidi w:val="0"/>
        <w:spacing w:lineRule="auto" w:line="288" w:before="120" w:after="283"/>
        <w:jc w:val="both"/>
        <w:rPr/>
      </w:pPr>
      <w:r>
        <w:rPr>
          <w:rFonts w:ascii="Times New Roman;serif" w:hAnsi="Times New Roman;serif"/>
          <w:b w:val="false"/>
          <w:color w:val="000000"/>
          <w:sz w:val="20"/>
        </w:rPr>
        <w:t>In addition, our success depends in part on our ability to attract and motivate our senior management and key employees. Achieving this objective may be difficult due to a variety of factors, including fluctuations in economic and industry conditions, competitors’ hiring practices, and the effectiveness of our compensation programs. Competition for qualified personnel can be intense. I</w:t>
      </w:r>
      <w:r>
        <w:rPr>
          <w:rFonts w:ascii="Times New Roman;serif" w:hAnsi="Times New Roman;serif"/>
          <w:b w:val="false"/>
          <w:color w:val="000000"/>
          <w:sz w:val="20"/>
          <w:shd w:fill="FFFFFF" w:val="clear"/>
        </w:rPr>
        <w:t xml:space="preserve">f we are unable to effectively provide for the succession of key personnel, senior management and our executive officers, including our President and Chief Executive Officer, our business, results of operations, cash flows and financial condition may be adversely affected. </w:t>
      </w:r>
      <w:r>
        <w:rPr>
          <w:rFonts w:ascii="Times New Roman;serif" w:hAnsi="Times New Roman;serif"/>
          <w:b w:val="false"/>
          <w:color w:val="000000"/>
          <w:sz w:val="20"/>
        </w:rPr>
        <w:t>The Company’s Board of Directors continually monitors this risk and we believe that the Company’s succession plan, together with our straightforward strategy, clear value drivers, decentralized nature and the quality of managers running our operating units helps to mitigate this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color w:val="000000"/>
          <w:sz w:val="20"/>
        </w:rPr>
        <w:t>Public health crises, and health pandemics, epidemics and outbreaks could adversely affect our business</w:t>
      </w:r>
      <w:r>
        <w:rPr>
          <w:rFonts w:ascii="Times New Roman;serif" w:hAnsi="Times New Roman;serif"/>
          <w:b w:val="false"/>
          <w:i/>
          <w:color w:val="000000"/>
          <w:sz w:val="20"/>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significant public health crisis could cause disruption to our operations. Our ability to predict and respond to future changes resulting from potential health crises is uncertain. Even after a public health crisis subsides, there may be long-term effects on our business practices and customers in economies in which we operate that could severely disrupt our operations and could have a material adverse effect on our business, results of operations, cash flows and financial condition. As we cannot predict the duration, scope or severity of future public health crises, the negative financial impact to our results cannot be reasonably estimated and could be material.</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sales to manufacturers of aircraft are cyclical, and a downturn in sales to these manufacturers may adversely affect us.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sales to manufacturers of large commercial aircraft, such as Boeing, Airbus, and related OEM suppliers, as well as manufacturers of business jets have historically experienced periodic downturns. In the past, these sales have been affected by airline profitability, which is impacted by, among other things, fuel and labor costs, price competition, interest rates, downturns in the global economy and national and international events. In addition, sales of our products to manufacturers of business jets are impacted by, among other things, downturns in the global economy. Significant labor disagreements and supply chain issues may also negatively impact the production of aircraft. Downturns adversely affect our results of operations, financial position and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business is dependent on the availability of certain components and raw materials from suppliers.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the price and availability of the raw materials and component parts that we use to manufacture our components. Our business, therefore, could be adversely impacted by factors affecting our suppliers (such as the destruction of our suppliers’ facilities or their distribution infrastructure, a work stoppage or strike by our suppliers’ employees or the failure of our suppliers to provide materials of the requisite quality), or by increased costs of such raw materials or components if we were unable to pass along such price increases to our customers. Changes to tariff and import and export regulations in the United States and abroad may also negatively impact the availability and pricing of raw materials.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we strive to limit the volume of raw materials and component parts on hand, our business could be adversely affected if we were unable to obtain these raw materials and components from our suppliers in the quantities we require or on favorable terms. Although we believe in most cases that we could identify alternative suppliers, or alternative raw materials or component parts, the lengthy and expensive aviation authority and OEM certification processes associated with aerospace products could prevent efficient replacement of a supplier, raw material or component part.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face significant competition.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operate in a highly competitive global industry and compete against a number of companies. Competitors in our product lines are both U.S. and foreign companies and range in size from divisions of large public corporations to small privately-held entities. We believe that our ability to compete depends on high product performance, consistent high quality, short lead-time and timely delivery, competitive pricing, superior customer service and support and continued certification under customer quality requirements and assurance programs. We adjust the prices of some of our products from time to time to stay competitive.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Climate-related regulations designed to address climate change may result in additional compliance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the products we sell are currently subject to rules limiting emissions and to other climate-related regulations in certain jurisdictions where we operate. Changes in environmental and climate-related laws or regulations on greenhouse gas emissions may negatively impact us, our suppliers and customers. We cannot predict what environmental legislation or regulations will be enacted in the future, how existing or future laws or regulations will be administered or interpreted, or what environmental conditions may be found to exist. Compliance with any new or more stringent laws or regulations, or stricter interpretations of existing laws, could require additional expenditures by us or our suppliers, in which case, the costs of raw materials and component parts could increase.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our manufacturing facilities primarily engage in assembly and light manufacturing and because we do not maintain any transportation infrastructure, we have relatively low Scope 1 and Scope 2 emissions. Accordingly, we do not anticipate any material adverse impact from increased carbon regulation directly on our manufacturing operations. Further, because of our wide portfolio of hundreds of thousands of products, we do not anticipate any material adverse impact from the reliance on a supplier or group of suppliers that may be subject to climate risks. However, regulation that would have a material adverse impact on air travel could have a material adverse impact on our business. Given the uncertainty around these issues, we cannot predict how future legislation, will affect our operations and financial condition. We have established a science-aligned greenhouse gas emissions reduction target of at least a 50% reduction in our Scope 1 and Scope 2 emissions on an absolute basis. Fiscal 2019 is the selected baseline year for TransDigm that we will compare against as we make progress towards our emissions reduction goal. We continue to evaluate ways to reduce our energy and water consumption and lower our greenhouse gas emissions through energy efficiency measures, the purchase of green power and other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operations depend on our manufacturing facilities, which are subject to physical and other risks that could disrupt production.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and those of our customers and suppliers have been and may again be subject to natural disasters, climate change-related events, pandemics or other business disruptions, which could seriously harm our results of operation and increase our costs and expenses. Some of our manufacturing facilities are located in regions that may be impacted by severe weather events, such as increased storm frequency or severity in the Atlantic and fires in hotter and drier climates. These could result in potential damage to our physical assets as well as disruptions in manufacturing activities. Some of our manufacturing facilities are located in areas that may be at risk due to rising sea levels. Moreover, some of our manufacturing facilities are located in areas that could experience decreased access to water due to climate issues.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also vulnerable to damage from other types of disasters, including power loss, fire, explosions, floods, communications failures, terrorist attacks and similar events. Disruptions could also occur due to health-related outbreaks and crises, cyber-attacks, computer or equipment malfunction (accidental or intentional), operator error or process failures. Should insurance or other risk transfer mechanisms, such as our existing disaster recovery and business continuity plans, be insufficient to recover all costs, we could experience a material adverse effect on our business, results of operations, financial position and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Operations and sales outside of the United States may be subject to additional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net sales to foreign customers were $3,296 million for the fiscal year ended September 30, 2025. A number of risks inherent in international operations could have a material adverse effect on our results of operations, including war, sanctions, global health crises, currency fluctuations, difficulties in staffing and managing multinational operations, general economic and political uncertainties and potential for social unrest in countries in which we operate, limitations on our ability to enforce legal rights and remedies, restrictions on the repatriation of funds, change in trade policies, tariff regulation, difficulties in obtaining export and import licenses and the risk of government financed competition.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Issues with the global supply chain can also rise due to some of the aforementioned risks, as well as the availability and cost of raw materials to suppliers, merchandise quality or safety issues, shipping and transport availability and cost, increases in wage rates and taxes, transport security, inflation and other factors relating to the suppliers and the countries in which they are located or from which they import. Such issues are often beyond our control and could adversely affect our operations and profitability. Furthermore, the Company is subject to foreign and domestic laws and regulations, which generally prohibit companies and their employees, agents and contractors from making improper payments for the purpose of obtaining or retaining business. Failure to comply with these laws could subject the Company to civil and criminal penalties that could materially adversely affect the Company’s results of operations, financial position and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monitor the ongoing geopolitical conflicts, such as Russia and Ukraine, and the related export controls and financial and economic sanctions imposed on certain industry sectors, including the aviation sector, and parties in Russia by the U.S., the U.K., the European Union and others. Although the conflicts have not, nor are expected to, have a direct material adverse impact on TransDigm's business, the implications of these conflicts in the short-term and long-term are difficult to predict. Factors such as increased energy costs, the availability of certain raw materials for aircraft manufacturers, embargoes on flights from certain airlines, sanctions on certain companies, and the stability of certain customers could impact the global economy and aviation sector.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are subject to certain unique business risks as a result of supplying equipment and services to the U.S. Government.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Companies engaged in supplying defense-related equipment and services to U.S. Government agencies, whether through direct contracts with the U.S. Government or as a subcontractor to customers contracting with the U.S. Government, are subject to business risks specific to the defense industry. These risks include the ability of the U.S. Government to unilaterally: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suspend or debar us from receiving new contracts based on alleged violations of procurement laws or regulations;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terminate existing contracts;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revoke required security clearances;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audit contract-related costs and fees, including allocated indirect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Government contracts can be terminated by the U.S. Government at its convenience without cause or significant notice. Termination for convenience provisions provide only for recovery of costs incurred or committed, settlement expenses and profit on the work completed prior to termination.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Most of our U.S. Government contracts are based on a firm-fixed price where we take the risk of cost overruns. On contracts for which the price is not fixed but rather based on the reimbursement of costs, the U.S. Government may review incurred costs and performance, as well as our accounting and general business practices. Based on the results of such audits, the U.S. Government may adjust the reimbursement of contract-related costs and fees, including allocated indirect costs. In addition, under U.S. Government purchasing regulations, some of our costs, including most financing costs, amortization of intangible assets, portions of research and development costs, and certain marketing expenses may not be subject to reimbursement under cost-reimbursement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even where the price is not based on cost, the U.S. Government may seek to review costs to determine whether our pricing is “fair and reasonable.” Our subsidiaries are periodically subject to pricing reviews and government buying agencies that purchase some of our subsidiaries’ products are periodically subject to audits by the U.S. Department of Defense (“DOD”) with respect to prices paid for such products. As a result of these audits, we could be asked to enter into an arrangement whereby our prices would be based on costs approved by the auditor, plus a nominal fee, the DOD could seek to pursue alternative sources of supply for our parts, or the U.S. Government could take other adverse actions with respect to our contracts. Any of those occurrences could lead to a reduction in our revenue from, or the profitability of certain of our supply arrangements with, certain agencies and buying organizations of the U.S. Government. Further, negative publicity relating to the results of any audit, inquiry or subsequent hearing or the like could negatively impact our stock price.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 government inquiry or investigation alleges improper or illegal activities, we could be subject to civil or criminal penalties or administrative sanctions, including contract termination, fines, forfeiture of fees, suspension of payment and suspension or debarment from doing business with U.S. Government agencies, any of which could materially adversely affect our reputation, business, financial condition, results of operations and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Moreover, U.S. Government purchasing regulations contain many additional operational requirements, which do not apply to entities not engaged in government contracting. Failure to comply with such government contracting requirements could result in civil and criminal penalties that could have a material adverse effect on the Company’s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business may be adversely affected if we would lose our government or industry approvals or if more stringent government regulations are enacted or if industry oversight is increased.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aerospace industry is highly regulated in the U.S. and in other countries. In order to sell our products, we and the products we manufacture must be certified by the FAA, the DOD and similar agencies in foreign countries and by individual manufacturers. If new and more stringent government regulations are adopted or if industry oversight increases, we might incur significant expenses to comply with any new regulations or heightened industry oversight. In addition, if material authorizations or approvals were revoked or suspended, our business would be adversely affected.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aviation approvals, we are at times required to obtain approval from U.S. Government agencies and similar agencies elsewhere in the world to export our products. U.S. laws and regulations applicable to us include the Arms Export Control Act, the International Traffic in Arms Regulations (“ITAR”), the Export Administration Regulations (“EAR”) and the trade sanctions laws and regulations administered by the United States Department of the Treasury's Office of Foreign Assets Control (“OFAC”). EAR restricts the export of commercial and dual-use products and technical data to certain countries, while ITAR restricts the export of defense products, technical data and defense services.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Failure to obtain approval to export or determination by the U.S. Government or similar agencies elsewhere in the world that we failed to receive required approvals or licenses could eliminate or restrict our ability to sell our products outside the United States or other country of origin, and the penalties that could be imposed by the U.S. Government or other applicable government for failure to comply with these laws could be significant.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could incur substantial costs as a result of data protection concerns.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interpretation and application of data protection laws in the U.S. and globally, including but not limited to the General Data Protection Regulation and are uncertain and evolving. It is possible that these laws may be interpreted and applied in a manner that is inconsistent with our data practices. Complying with these various laws is difficult and could cause us to incur substantial costs or require us to change our business practices in a manner adverse to our business. Further, although we have implemented internal controls and procedures designed to ensure compliance with the various privacy-related laws, rules and regulations, there can be no assurance that our controls and procedures will enable us to be fully compliant with all data protection laws. The rapid evolution and increased adoption of artificial intelligence (“AI”) technologies may intensify these risks. Any failure to comply, could result in significant penalties, fines, legal challenges and reputational harm.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Increased cybersecurity threats and more sophisticated and targeted computer crime have posed and could continue to pose a risk to our and certain third parties’ information technology systems and a disruption to or breach in the security of such systems, if material, could have adverse effects on our result of operations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rely extensively on information technology systems to manage and operate our business, some of which are managed by third parties. The security and functionality of these information technology systems, and the processing of data by these systems, are critical to our business operations. If these systems, or any part of the systems, are damaged, intruded upon, attacked, shutdown or cease to function properly (whether by planned upgrades, force majeure, telecommunications failures, criminal acts, including hardware or software break-ins, ransomware attacks or extortion attempts, or viruses, or other cybersecurity incidents) and we suffer any resulting interruption in our ability to manage and operate our business or if our products are affected, our results of operations and financial condition could be materially adversely affected. In fact, we have experienced data security incidents, although these have not had a material impact on our financial results. Furthermore, the Company has access to classified, sensitive, confidential, proprietary, or personal data or information that is subject to privacy and security laws, regulations, or other contractually-imposed controls.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risks in this area continue to grow, and we expect cyber events will continue to accelerate in frequency and impact as threat actors increasingly use AI and other techniques to circumvent security controls, evade detection and remove forensic evidence.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Despite our use of reasonable and appropriate technical security controls and monitoring, security breaches, theft, misplaced, lost or corrupted data, programming, or employee errors and/or malfeasance have led and could in the future lead to the compromise or improper use of such sensitive, confidential, proprietary, or personal data or information. Such events may result in possible negative consequences, such as disruption to our business operations, loss of proprietary information, ransom demands, loss of revenue, penalties, failure to comply with laws governing sensitive data, government enforcement, litigation or regulatory proceedings, negative publicity, loss of reputation, loss of intellectual property, loss of competitiveness or customers, increased security and compliance costs or other negative consequences; however, the use of isolated systems by our operating units mitigates the pervasiveness of this risk. Further, the amount of insurance coverage that we maintain may be inadequate to cover claims or liabilities relating to a cybersecurity incident. Depending on the nature and magnitude of these events, they may have an adverse impact on our results of operations or financial condition.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Legal and Regulatory Matters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could incur substantial costs as a result of violations of or liabilities under environmental laws and regulations.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subsidiaries of the Company have been identified as potentially responsible parties under the federal superfund laws and comparable state laws. The Company is currently involved in the investigation and remediation of a number of sites under applicable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Accordingly, as investigations and remediations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be subject to periodic litigation and regulatory proceedings, which may adversely affect our business and financial performance.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subject to regulation under a variety of U.S. federal and state and non-U.S. laws, regulation and policies that require ongoing compliance efforts. From time to time, we are involved in lawsuits and regulatory actions brought or threatened against us in the ordinary course of business. These actions and proceedings may involve claims for, among other things, compensation for alleged personal injury, workers’ compensation, employment discrimination, financial improprieties or breach of contract. In addition, we may be subject to class action lawsuits, including those involving allegations of violations of consumer product statutes or the Fair Labor Standards Act and state wage and hour laws. Due to the inherent uncertainties of litigation, we cannot accurately predict the ultimate outcome of any such actions or proceedings. The outcome of litigation, particularly class action lawsuits and regulatory actions, is difficult to assess or quantify, as plaintiffs may seek recovery of very large or indeterminate amounts in these types of lawsuits, and the magnitude of the potential loss may remain unknown for substantial periods of time. In addition, plaintiffs in many types of actions may seek punitive damages, civil penalties, consequential damages or other losses, or injunctive or declaratory relief. These proceedings could result in substantial cost and may require us to devote substantial resources to defend ourselves. The ultimate resolution of these matters through settlement, mediation, or court judgment could have a material impact on our financial condition, results of operations, and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could be adversely affected by the impact of failure, misuse or quality issues of our products.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produce highly engineered aircraft components, and accordingly, the adverse impact of product quality issues, actual or perceived, can be significant. Our operations expose us to potential liabilities for personal injury or death as a result of the failure of an aircraft product that we have designed, manufactured or serviced. While we maintain liability insurance to protect us from future product liability claims, in the event of product liability claims our insurers may attempt to deny coverage or any coverage we have may not be adequate. We also may not be able to maintain insurance coverage in the future at an acceptable cost. Any liability not covered by insurance or for which third-party indemnification is not available could result in significant liability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a crash caused by one of our products could damage our reputation for quality products. We believe our customers consider safety and reliability as key criteria in selecting a provider of aircraft products. If a crash were to be caused by one of our products, or if we were to otherwise fail to maintain a satisfactory record of safety and reliability, our ability to retain and attract customers may be materially adversely affected.</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Financial Matters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have recorded a significant amount of intangible assets, which may never generate the returns we expect.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Mergers and acquisitions have resulted in significant increases in identifiable intangible assets and goodwill. Identifiable intangible assets, which primarily include trademarks, trade names, customer relationships, and technology, were $3,454 million at September 30, 2025, representing 15% of our total assets. Goodwill recognized in accounting for mergers and acquisitions was $10,612 million at September 30, 2025, representing 46% of our total assets. We may never realize the full value of our identifiable intangible assets and goodwill, and to the extent we were to determine that our identifiable intangible assets or our goodwill were impaired within the meaning of applicable accounting standards, we would be required to write-off the amount of any impairment.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may be subject to risks relating to changes in our tax rates or exposure to additional income tax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U.S. and various non-U.S. jurisdictions. The Company’s domestic and international tax liabilities are dependent upon the location of earnings among these different jurisdictions. The Company’s future results of operations could be adversely affected by changes in the Company’s effective tax rate as a result of changes in the mix of earnings in countries with differing statutory tax rates, changes in the valuation of deferred tax assets, challenges by tax authorities or changes in tax laws or regulations. From time to time, changes in tax laws or regulations may be proposed or enacted that could adversely affect our overall tax liability. There can be no assurance that changes in tax laws or regulations, both within the U.S. and the other jurisdictions in which we operate, such as the proposed 15% global minimum tax under the Organisation for Economic Co-operation and Development (the “OECD”) Pillar Two, Global Anti-Base Erosion Rules (the “Pillar Two Rules”), will not materially and adversely affect our effective tax rate, tax payments, financial condition and results of operations. As of September 30, 2025, many jurisdictions where the Company operates, including Canada, U.K. and Germany, have adopted the Pillar Two Rules. The effective dates vary between fiscal 2025 and fiscal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amount of income taxes paid by the Company is subject to ongoing audits by U.S. federal, state and local tax authorities and by non-U.S. tax authorities. If these audits result in assessments different from amounts reserved, future financial results may include unfavorable adjustments to the Company’s tax liabilities, which could have a material adverse effect on the Company’s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We do not regularly declare and pay quarterly or annual cash dividends on our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the most recent special cash dividend declared by the Company’s Board of Directors on August 20, 2025 of $90.00 per outstanding share of common stock, paid on September 12, 2025, we do not anticipate declaring regular cash dividends, whether quarterly or annual, on our common stock or any other equity security in the foreseeable future.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amounts that may be available to us to pay future special cash dividends are restricted under our debt and other agreements. Any payment of special cash dividends on our common stock in the future will be at the discretion of our Board of Directors and will depend on our results of operations, earnings, capital requirements, financial condition, future prospects, contractual restrictions and other factors deemed relevant by our Board of Directors. Therefore, shareholders should not rely on regular quarterly or annual dividend income from shares of our common stock and should not rely on special dividends with any regularity or at all.</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General Risks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commercial business is sensitive to the number of flight hours that our customers’ planes spend aloft, the size and age of the worldwide aircraft fleet and our customers’ profitability. These items are, in turn, affected by general economic and geopolitical and other worldwide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commercial business is directly affected by, among other factors, changes in revenue passenger kilometers (“RPKs”), the size and age of the worldwide aircraft fleet, the percentage of the fleet that is out-of-warranty and changes in the profitability of the commercial airline industry. RPKs and airline profitability have historically been correlated with the general economic environment, although national and international events also play a key role, such as pandemics, general downturns in the global economy, higher fuel prices and conflicts abroad.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global market and economic conditions have been challenging due to turbulence in the U.S. and international markets and economies and have prolonged declines in business and consumer spending. During periods of reduced airline profitability, some airlines may delay purchases of spare parts, preferring instead to deplete existing inventories, and delay refurbishments and discretionary spending. If demand for spare parts decreases, there would be a decrease in demand for certain products. An adverse change in demand could impact our results of operations, collection of accounts receivable and our expected cash flow generation from current and acquired businesses which may adversely impact our financial condition and access to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 military spending is dependent upon the U.S. defense budget.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military and defense market is significantly dependent upon government budget trends, particularly the DOD budget. In addition to normal business risks, our supply of products to the U.S. Government is subject to unique risks largely beyond our control. DOD budgets could be negatively impacted by several factors, including, but not limited to, a change in defense spending policy as a result of the presidential election or otherwise, the U.S. Government’s budget deficits, spending priorities, the cost of sustaining the U.S. military presence internationally and possible political pressure to reduce U.S. Government military spending, each of which could cause the DOD budget to remain unchanged or to decline. A significant decline in U.S. military expenditures could result in a reduction in the amount of our products sold to the various agencies and buying organizations of the U.S. Government.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stock price may be volatile, and an investment in our common stock could suffer a decline in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significant volatility in the market price and trading volume of equity securities, which is unrelated to the operating performance of the companies issuing the securities. These market fluctuations may negatively affect the market price of our common stock. Shareholders may not be able to sell their shares at or above the purchase price due to fluctuations in the market price of our common stock. Such changes could be caused by changes in our operating performance or prospects, including possible changes due to the cyclical nature of the aerospace industry and other factors such as fluctuations in OEM and aftermarket ordering, which could cause short-term swings in profit margins. Or such changes could be unrelated to our operating performance, such as changes in market conditions affecting the stock market generally or the stocks of aerospace companies or changes in the outlook for our common stock, such as changes to or the confidence in our business strategy, changes to or confidence in our management, or expectations for future growth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established a risk-based cybersecurity and information security program (“program”) designed to assess, identify, and manage material risks from cybersecurity threats. Our cybersecurity risk management process includes policies that specify the requirements for technical security controls, monitoring systems, tools and services from third-party providers, and employee training and awareness. Our cybersecurity risk management process also includes regular independent audits across our operating units. Management oversees our cybersecurity risk management process in order to assess and manage material risks from cybersecurity threats identified by both internal and external threat intelligence. Our program monitors and evaluates risks from cybersecurity threats, and we aim to adapt our program and related processes accordingly.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multi-layered framework on which our cybersecurity and information security program is built incorporates cybersecurity standards and certain requirements of the National Institute of Standards and Technology (“NIST”) Special Publication 800-171—Protecting Controlled Unclassified Information in Non-Federal Systems and Organizations—along with other legal and regulatory requirements. However, this does not mean that we meet any particular technical standards, specifications, or requirements, but rather that we use NIST and other cybersecurity standards as a guide to help us identify, assess, and manage cybersecurity risks relevant to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cybersecurity and information security program is led by the Company’s Vice President of Cybersecurity (“VPoC”) who reports to our Chief Financial Officer. Our VPoC has served as a technology leader of cybersecurity, information security, infrastructure, and operational functions for over 35 years. The VPoC is supported by the Incident Response Team (“IRT”), a management committee made up of the Co-Chief Operating Officers, Chief Financial Officer, and executives in legal, finance, IT, and audit. The IRT supports the VPoC in assessing and managing risks from cybersecurity threats and in the event of a cybersecurity incident, provides oversight and leadership with respect to incident response.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adopted by our businesses, which has been overseen by our corporate executive team, we have a cybersecurity incident response plan that outlines our policies and procedures to identify, respond to, and recover from cybersecurity threats and cybersecurity incidents. Our businesses are required to conduct regular exercises of their incident response plan as part of our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event of a potentially material cybersecurity incident, as determined by the VPoC with support from legal, as needed, the IRT is notified through an established escalation protocol. The Chair of the Audit Committee is also notified and briefed, and meetings of the Audit Committee and/or full Board of Directors would be held as appropriate. We maintain a relationship with third-party forensic vendor(s) available for incident response and investigation. Additionally, we maintain cybersecurity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oversees our enterprise risk management (“ERM”) program and has delegated the primary responsibility for its oversight, which includes oversight of cybersecurity risk, to the Audit Committee. The Audit Committee is informed of material risks from cybersecurity threats through regular discussion with management regarding cybersecurity risk mitigation and cybersecurity incident management. Executive management, including our VPoC, regularly presents to the Audit Committee regarding cybersecurity matters, including program updates, key metrics, and developments.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ERM program inventories and classifies key risk areas. We employ a methodology for scoring the risks based on the probability and impact of individual risks and discuss and implement countermeasures to address the risks.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information we have as of the date of this Annual Report on Form 10-K, we do not believe any risks from cybersecurity threats, including as a result of any previous cybersecurity incidents, have materially affected or are reasonably likely to materially affect our business strategy, results of operations or financial condition. For further information about risks related to cybersecurity threats, refer to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is located in Cleveland, Ohio. We maintain approximately 120 manufacturing facilities. Most of our manufacturing facilities are comprised of manufacturing, distribution and engineering functions, and most facilities have certain administrative functions, including management, sales and finance and are a combination of leased and owned. The facilities are situated in 25 states within the United States and in 14 other countries. Our properties consist of sales and administrative offices and distribution centers as well as manufacturing plants. None of our facilities are individually material to our operations.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believes that our machinery, plants and offices are in satisfactory operating condition and that it will have sufficient capacity to meet foreseeable future needs without incurring significant additional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and legal actions arising in the ordinary course of business. We believe that the outcome of these matters will not have a material adverse effect on our financial position, results of operations, or cash flows. From time to time, we are involved in matters that involve governmental authorities as a party under federal, state and local laws that have been enacted or adopted regulating the discharge of materials into the environment or primarily for the purpose of protecting the environment. We will report such matters that exceed, or that we reasonably believe may exceed, $1 million or more in monetary sanctions. While the Company is currently involved in certain legal proceedings, it believes the results of these proceedings will not have a material adverse effect on its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Market Information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or NYSE, under the ticker symbol “TDG.”</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October 16, 2025, there were 27 stockholders of record of our common stock and approximately 908,000 beneficial stockholders, which includes an estimated number of stockholders who have their shares held in their accounts by banks and brokers.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Special Dividends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On August 20, 2025, </w:t>
      </w:r>
      <w:r>
        <w:rPr>
          <w:rFonts w:ascii="Times New Roman;serif" w:hAnsi="Times New Roman;serif"/>
          <w:b w:val="false"/>
          <w:color w:val="000000"/>
          <w:sz w:val="20"/>
        </w:rPr>
        <w:t>the Company's Board of Directors authorized and declared a special cash dividend of $90.00 on each outstanding share of common stock and cash dividend equivalent payments on eligible vested options outstanding under its stock option plans. The total cash payment, funded by a combination of $5,000 million in new senior secured and unsecured debt and existing cash on hand, related to the special dividend and dividend equivalents was approximately $5,232 million in September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future declaration of special cash dividends on our common stock will be at the discretion of our Board of Directors and will depend upon our results of operations, earnings, capital requirements, financial condition, future prospects, contractual restrictions under the Second Amended and Restated Credit Agreement dated as of June 4, 2014 (the “Credit Agreement”) and indentures governing the Notes, the availability of surplus under Delaware law and other factors deemed relevant by our Board of Directors. TD Group is a holding company and conducts all of its operations through direct and indirect subsidiaries. Unless TD Group receives dividends, distributions, advances, transfers of funds or other payments from our subsidiaries, TD Group will be unable to pay any dividends on our common stock in the future. The ability of any subsidiaries to take any of the foregoing actions is limited by the terms of our term loans and indentures and may be limited by future debt or other agreements that we may enter into.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Set forth below is a line graph comparing the cumulative total return of a hypothetical investment in the shares of common stock of TD Group with the cumulative total return of a hypothetical investment in each of the S&amp;P 500 Index and the S&amp;P Aerospace &amp; Defense Select Industry Index. An investment of $100 (with reinvestment of all dividends) is assumed to have been made in our common stock and in each of the indexes on September 30, 2020, and its relative performance is tracked through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00"/>
        <w:jc w:val="both"/>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shall not be deemed “soliciting material” nor to be “filed” with the SEC, nor shall such information be incorporated by reference into any future filings under the Securities Act of 1933 or the Securities Exchange Act of 1934, each as amended, except to the extent we specifically incorporate it by reference into such filing.</w:t>
      </w:r>
    </w:p>
    <w:p>
      <w:pPr>
        <w:pStyle w:val="TextBody"/>
        <w:bidi w:val="0"/>
        <w:spacing w:lineRule="auto" w:line="288" w:before="0" w:after="0"/>
        <w:ind w:left="0" w:right="0" w:firstLine="495"/>
        <w:jc w:val="center"/>
        <w:rPr>
          <w:rFonts w:ascii="Times New Roman;serif" w:hAnsi="Times New Roman;serif"/>
          <w:b/>
          <w:color w:val="000000"/>
          <w:sz w:val="20"/>
        </w:rPr>
      </w:pPr>
      <w:r>
        <w:rPr>
          <w:rFonts w:ascii="Times New Roman;serif" w:hAnsi="Times New Roman;serif"/>
          <w:b/>
          <w:color w:val="000000"/>
          <w:sz w:val="20"/>
        </w:rPr>
        <w:t>COMPARISON OF 5 YEAR CUMULATIVE TOTAL RETURN*</w:t>
      </w:r>
    </w:p>
    <w:p>
      <w:pPr>
        <w:pStyle w:val="TextBody"/>
        <w:bidi w:val="0"/>
        <w:spacing w:lineRule="auto" w:line="288" w:before="0" w:after="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 xml:space="preserve">Among TransDigm Group Inc., the S&amp;P 500 Index and S&amp;P Aerospace &amp; Defense Select Industry Index </w:t>
      </w:r>
    </w:p>
    <w:p>
      <w:pPr>
        <w:pStyle w:val="TextBody"/>
        <w:bidi w:val="0"/>
        <w:spacing w:before="120" w:after="283"/>
        <w:jc w:val="center"/>
        <w:rPr/>
      </w:pPr>
      <w:r>
        <w:rPr/>
        <w:drawing>
          <wp:inline distT="0" distB="0" distL="0" distR="0">
            <wp:extent cx="6372225" cy="457200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6372225" cy="4572000"/>
                    </a:xfrm>
                    <a:prstGeom prst="rect">
                      <a:avLst/>
                    </a:prstGeom>
                  </pic:spPr>
                </pic:pic>
              </a:graphicData>
            </a:graphic>
          </wp:inline>
        </w:drawing>
      </w:r>
      <w:bookmarkStart w:id="0" w:name="i-1"/>
      <w:bookmarkEnd w:id="0"/>
    </w:p>
    <w:p>
      <w:pPr>
        <w:pStyle w:val="TextBody"/>
        <w:bidi w:val="0"/>
        <w:spacing w:lineRule="auto" w:line="288" w:before="0" w:after="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*$100 invested on 9/30/2020 in stock or index, including reinvestment of dividends.</w:t>
      </w:r>
    </w:p>
    <w:p>
      <w:pPr>
        <w:pStyle w:val="TextBody"/>
        <w:bidi w:val="0"/>
        <w:spacing w:lineRule="auto" w:line="288" w:before="0" w:after="0"/>
        <w:ind w:left="0" w:right="0" w:firstLine="495"/>
        <w:jc w:val="left"/>
        <w:rPr>
          <w:rFonts w:ascii="Times New Roman;serif" w:hAnsi="Times New Roman;serif"/>
          <w:b w:val="false"/>
          <w:color w:val="000000"/>
          <w:sz w:val="16"/>
        </w:rPr>
      </w:pPr>
      <w:r>
        <w:rPr>
          <w:rFonts w:ascii="Times New Roman;serif" w:hAnsi="Times New Roman;serif"/>
          <w:b w:val="false"/>
          <w:color w:val="000000"/>
          <w:sz w:val="16"/>
        </w:rPr>
        <w:t>Copyright 2025 Standard &amp; Poor’s, a division of S&amp;P Global. All rights reserved.</w:t>
      </w:r>
    </w:p>
    <w:tbl>
      <w:tblPr>
        <w:tblW w:w="10205" w:type="dxa"/>
        <w:jc w:val="left"/>
        <w:tblInd w:w="0" w:type="dxa"/>
        <w:tblLayout w:type="fixed"/>
        <w:tblCellMar>
          <w:top w:w="28" w:type="dxa"/>
          <w:left w:w="28" w:type="dxa"/>
          <w:bottom w:w="28" w:type="dxa"/>
          <w:right w:w="28" w:type="dxa"/>
        </w:tblCellMar>
      </w:tblPr>
      <w:tblGrid>
        <w:gridCol w:w="1016"/>
        <w:gridCol w:w="892"/>
        <w:gridCol w:w="895"/>
        <w:gridCol w:w="360"/>
        <w:gridCol w:w="361"/>
        <w:gridCol w:w="227"/>
        <w:gridCol w:w="109"/>
        <w:gridCol w:w="109"/>
        <w:gridCol w:w="109"/>
        <w:gridCol w:w="360"/>
        <w:gridCol w:w="361"/>
        <w:gridCol w:w="227"/>
        <w:gridCol w:w="109"/>
        <w:gridCol w:w="109"/>
        <w:gridCol w:w="109"/>
        <w:gridCol w:w="360"/>
        <w:gridCol w:w="361"/>
        <w:gridCol w:w="227"/>
        <w:gridCol w:w="109"/>
        <w:gridCol w:w="109"/>
        <w:gridCol w:w="109"/>
        <w:gridCol w:w="360"/>
        <w:gridCol w:w="361"/>
        <w:gridCol w:w="227"/>
        <w:gridCol w:w="109"/>
        <w:gridCol w:w="109"/>
        <w:gridCol w:w="109"/>
        <w:gridCol w:w="360"/>
        <w:gridCol w:w="361"/>
        <w:gridCol w:w="227"/>
        <w:gridCol w:w="109"/>
        <w:gridCol w:w="109"/>
        <w:gridCol w:w="109"/>
        <w:gridCol w:w="360"/>
        <w:gridCol w:w="361"/>
        <w:gridCol w:w="306"/>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9/30/2025</w:t>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Group Inc.</w:t>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182.46 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320.14 </w:t>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333.54 </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182.23 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Aerospace &amp; Defense Select Industry Index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282.62 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Purchases of Equity Securities by the Issuer or Affiliated Purchaser</w:t>
      </w:r>
    </w:p>
    <w:p>
      <w:pPr>
        <w:pStyle w:val="TextBody"/>
        <w:bidi w:val="0"/>
        <w:spacing w:lineRule="auto" w:line="288" w:before="120" w:after="283"/>
        <w:jc w:val="both"/>
        <w:rPr/>
      </w:pPr>
      <w:r>
        <w:rPr>
          <w:rFonts w:ascii="Times New Roman;serif" w:hAnsi="Times New Roman;serif"/>
          <w:b w:val="false"/>
          <w:color w:val="000000"/>
          <w:sz w:val="20"/>
        </w:rPr>
        <w:t>N</w:t>
      </w:r>
      <w:r>
        <w:rPr>
          <w:rFonts w:ascii="Times New Roman;serif" w:hAnsi="Times New Roman;serif"/>
          <w:b w:val="false"/>
          <w:color w:val="000000"/>
          <w:sz w:val="20"/>
          <w:shd w:fill="FFFFFF" w:val="clear"/>
        </w:rPr>
        <w:t>o purchases of equity securities were made during the f</w:t>
      </w:r>
      <w:r>
        <w:rPr>
          <w:rFonts w:ascii="Times New Roman;serif" w:hAnsi="Times New Roman;serif"/>
          <w:b w:val="false"/>
          <w:color w:val="000000"/>
          <w:sz w:val="20"/>
        </w:rPr>
        <w:t>ourth quarter of fiscal 2025</w:t>
      </w:r>
      <w:r>
        <w:rPr>
          <w:rFonts w:ascii="Times New Roman;serif" w:hAnsi="Times New Roman;serif"/>
          <w:b w:val="false"/>
          <w:color w:val="000000"/>
          <w:sz w:val="20"/>
          <w:shd w:fill="FFFFFF" w:val="clear"/>
        </w:rPr>
        <w:t xml:space="preserve">. Refer to Note 14, “Stock Repurchase Program,” </w:t>
      </w:r>
      <w:r>
        <w:rPr>
          <w:rFonts w:ascii="Times New Roman;serif" w:hAnsi="Times New Roman;serif"/>
          <w:b w:val="false"/>
          <w:color w:val="000000"/>
          <w:sz w:val="20"/>
        </w:rPr>
        <w:t xml:space="preserve">in the notes to the consolidated financial statements for information </w:t>
      </w:r>
      <w:r>
        <w:rPr>
          <w:rFonts w:ascii="Times New Roman;serif" w:hAnsi="Times New Roman;serif"/>
          <w:b w:val="false"/>
          <w:color w:val="000000"/>
          <w:sz w:val="20"/>
          <w:shd w:fill="FFFFFF" w:val="clear"/>
        </w:rPr>
        <w:t>on the Company’s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of our financial condition and results of operations should be read together with TD Group’s consolidated financial statements and the related notes included elsewhere in this report. The following discussion may contain predictions, estimates and other forward-looking statements that involve a number of risks and uncertainties, including those discussed under the heading entitled “Risk Factors” included elsewhere in this report. These risks could cause our actual results to differ materially from any future performance suggested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believe we are a leading global designer, producer and supplier of highly engineered proprietary aerospace components with significant aftermarket content. We seek to develop highly customized products to solve specific needs for aircraft operators and manufacturers. We attempt to differentiate ourselves based on engineering, service and manufacturing capabilities. We believe that our products have strong brand names within the industry and that we have a reputation for high quality, reliability and strong customer support. We believe we have achieved steady, long-term growth in sales and improvements in operating performance we believe that due to our competitive strengths and through execution of our value-driven operating strategy. More specifically, focusing our businesses on our value-driven operating strategy of obtaining profitable new business, carefully controlling the cost structure via productivity and cost improvements and pricing our highly engineered value-added products to fairly reflect the value we provide and the resources required to do so has historically resulted in improvements in gross profit and income from operations over the long-term.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selective acquisition strategy has also been an important contribution to the growth of our business. We maintain a selective acquisition strategy, concentrating on proprietary commercial aerospace component businesses with significant aftermarket content where we see a clear path to value creation through the application of our three core value drivers. The integration of acquisitions into our existing businesses combined with implementing our proven operating strategy has historically resulted in improvements in the financial performance of the acquired businesses.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2025, we generated net sales of $8,831 million, gross profit of $5,311 million or 60.1% of net sales, and net income attributable to TD Group of $2,074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2025, demand for air travel remained strong both domestically and internationally. Commercial aftermarket sales increased in fiscal 2025 compared to fiscal 2024 primarily due to the overall demand for air travel resulting in higher flight hours and utilization of passenger and freight aircraft as global air traffic continues to surpass pre-pandemic levels. In recent months, international air traffic growth has been outpacing domestic growth. Passenger load factors remain strong and have reached record levels in recent months in certain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transport OEM shipments and revenues generally run ahead of aircraft delivery schedules. Consistent with prior years, our fiscal 2025 shipments were a function of, among other things, the estimated 2025 and 2026 commercial aircraft production rates for Boeing and Airbus. Airline demand for new aircraft remains high and the OEMs are working to increase aircraft production. However, aircraft production rates remain well below pre-pandemic levels as the struggles in the OEM supply chain and labor challenges persist, along with geopolitical challenges, though progress continues to be made in the build rates. Airbus has also encountered difficulties in ramping up production. For fiscal 2025, the impact across TransDigm's operating units was uneven and varied, resulting in consolidated commercial OEM sales decreasing compared to fiscal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defense business fluctuates from year-to-year, and is dependent, to a degree, on government budget constraints, the timing of orders, macro and micro dynamics with respect to the DOD procurement policy and the extent of global conflicts, such as the ongoing geopolitical conflicts. Likewise, delays in government spending outlays and government funding reprioritization can impact demand. For a variety of reasons, the military spending outlook is very uncertain, though recent DOD budgets have trended upwards due to recent geopolitical challenge and conflicts, and current military modernization efforts. Defense sales in fiscal 2025 increased compared to fiscal 2024 primarily due to continued U.S. Government defense spend outlays.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various points in 2025, the U.S. Government announced new or higher tariffs on goods imported into the U.S. from numerous countries resulting in multiple countries countering with reciprocal tariffs and other actions in response. Negotiations between the U.S. and other countries regarding the tariffs are ongoing and their status continues to evolve. TransDigm is primarily a domestic manufacturer. Because of this, tariffs did not have a significant impact on our fiscal 2025 operating results and we do not expect the tariffs to have a significant impact on our fiscal 2026 operating results. However, we continue to monitor the developments on tariffs and other changes in trade policy for its potential impact on the economic environment and on our business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for the periods indicated, certain operating data of the Company, including presentation of the amounts as a percentage of net sales (amounts in millions, except per share data): </w:t>
      </w:r>
    </w:p>
    <w:tbl>
      <w:tblPr>
        <w:tblW w:w="10205" w:type="dxa"/>
        <w:jc w:val="left"/>
        <w:tblInd w:w="0" w:type="dxa"/>
        <w:tblLayout w:type="fixed"/>
        <w:tblCellMar>
          <w:top w:w="28" w:type="dxa"/>
          <w:left w:w="28" w:type="dxa"/>
          <w:bottom w:w="28" w:type="dxa"/>
          <w:right w:w="28" w:type="dxa"/>
        </w:tblCellMar>
      </w:tblPr>
      <w:tblGrid>
        <w:gridCol w:w="1767"/>
        <w:gridCol w:w="1547"/>
        <w:gridCol w:w="1572"/>
        <w:gridCol w:w="211"/>
        <w:gridCol w:w="616"/>
        <w:gridCol w:w="109"/>
        <w:gridCol w:w="109"/>
        <w:gridCol w:w="109"/>
        <w:gridCol w:w="109"/>
        <w:gridCol w:w="308"/>
        <w:gridCol w:w="308"/>
        <w:gridCol w:w="583"/>
        <w:gridCol w:w="109"/>
        <w:gridCol w:w="109"/>
        <w:gridCol w:w="109"/>
        <w:gridCol w:w="211"/>
        <w:gridCol w:w="616"/>
        <w:gridCol w:w="109"/>
        <w:gridCol w:w="109"/>
        <w:gridCol w:w="109"/>
        <w:gridCol w:w="109"/>
        <w:gridCol w:w="308"/>
        <w:gridCol w:w="308"/>
        <w:gridCol w:w="651"/>
      </w:tblGrid>
      <w:tr>
        <w:trPr/>
        <w:tc>
          <w:tcPr>
            <w:tcW w:w="176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4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of Net Sales</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58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58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6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attributable to TD Group common stockholders: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94" w:type="dxa"/>
            <w:gridSpan w:val="6"/>
            <w:tcBorders/>
          </w:tcPr>
          <w:p>
            <w:pPr>
              <w:pStyle w:val="TableContents"/>
              <w:bidi w:val="0"/>
              <w:spacing w:before="0" w:after="283"/>
              <w:jc w:val="left"/>
              <w:rPr>
                <w:sz w:val="4"/>
                <w:szCs w:val="4"/>
              </w:rPr>
            </w:pPr>
            <w:r>
              <w:rPr>
                <w:sz w:val="4"/>
                <w:szCs w:val="4"/>
              </w:rPr>
            </w:r>
          </w:p>
        </w:tc>
      </w:tr>
      <w:tr>
        <w:trPr/>
        <w:tc>
          <w:tcPr>
            <w:tcW w:w="48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94" w:type="dxa"/>
            <w:gridSpan w:val="6"/>
            <w:tcBorders/>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5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w:t>
            </w:r>
          </w:p>
        </w:tc>
        <w:tc>
          <w:tcPr>
            <w:tcW w:w="15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outstanding—basic and diluted</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Data: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4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As Defined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Net income applicable to TD Group common stockholders represents net income attributable to TD Group less special dividends declared or paid on participating securities, including dividend equivalents of $208 million and $233 million for the fiscal years ended September 30, 2025 and 2024, respectively.</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Earnings per share is calculated by dividing net income applicable to TD Group common stockholders by the basic and diluted weighted average common shares outstanding. Figures in the table may not recalculate exactly due to rounding. Earnings per share is calculated using unrounded numbers.</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Fiscal year ended September 30, 2025 compared with fiscal year ended September 30, 2024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Total Company</w:t>
      </w:r>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organic sales and acquisition sales and the related dollar and percentage changes for the fiscal years ended September 30, 2025 and 2024 were as follows (amounts in millions):</w:t>
      </w:r>
    </w:p>
    <w:tbl>
      <w:tblPr>
        <w:tblW w:w="7427" w:type="dxa"/>
        <w:jc w:val="left"/>
        <w:tblInd w:w="0" w:type="dxa"/>
        <w:tblLayout w:type="fixed"/>
        <w:tblCellMar>
          <w:top w:w="28" w:type="dxa"/>
          <w:left w:w="28" w:type="dxa"/>
          <w:bottom w:w="28" w:type="dxa"/>
          <w:right w:w="28" w:type="dxa"/>
        </w:tblCellMar>
      </w:tblPr>
      <w:tblGrid>
        <w:gridCol w:w="548"/>
        <w:gridCol w:w="482"/>
        <w:gridCol w:w="485"/>
        <w:gridCol w:w="348"/>
        <w:gridCol w:w="1017"/>
        <w:gridCol w:w="180"/>
        <w:gridCol w:w="109"/>
        <w:gridCol w:w="109"/>
        <w:gridCol w:w="109"/>
        <w:gridCol w:w="348"/>
        <w:gridCol w:w="1017"/>
        <w:gridCol w:w="180"/>
        <w:gridCol w:w="109"/>
        <w:gridCol w:w="109"/>
        <w:gridCol w:w="109"/>
        <w:gridCol w:w="211"/>
        <w:gridCol w:w="466"/>
        <w:gridCol w:w="109"/>
        <w:gridCol w:w="109"/>
        <w:gridCol w:w="109"/>
        <w:gridCol w:w="109"/>
        <w:gridCol w:w="255"/>
        <w:gridCol w:w="256"/>
        <w:gridCol w:w="544"/>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br/>
              <w:t>Net Sales</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sales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sales</w:t>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Organic sales represent net sales from existing businesses owned by the Company, excluding sales from acquisitions. Acquisition sales represent net sales from acquired businesses for the period up to one year from the respective acquisition date. We believe this measure provides investors with a supplemental understanding of underlying sales trends by providing sales growth on a consistent basis. Refer to Note 2, “Acquisitions,” in the notes to the consolidated financial statements included herein for information on the Company's recent acquisitions.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organic sales of $615 million for the fiscal year ended September 30, 2025 compared to the fiscal year ended September 30, 2024 is primarily related to increases in defense and commercial aftermarket. </w:t>
      </w:r>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Cost of Sales and Gross Profit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Cost of sales increased by $252 million or 7.7%, to $3,520 million for the fiscal year ended September 30, 2025 compared to $3,268 million for the fiscal year ended September 30, 2024. Cost of sales and the related percentage of net sales for the fiscal years ended September 30, 2025 and 2024 were as follows (amounts in millions): </w:t>
      </w:r>
    </w:p>
    <w:tbl>
      <w:tblPr>
        <w:tblW w:w="10205" w:type="dxa"/>
        <w:jc w:val="left"/>
        <w:tblInd w:w="0" w:type="dxa"/>
        <w:tblLayout w:type="fixed"/>
        <w:tblCellMar>
          <w:top w:w="28" w:type="dxa"/>
          <w:left w:w="28" w:type="dxa"/>
          <w:bottom w:w="28" w:type="dxa"/>
          <w:right w:w="28" w:type="dxa"/>
        </w:tblCellMar>
      </w:tblPr>
      <w:tblGrid>
        <w:gridCol w:w="1538"/>
        <w:gridCol w:w="1346"/>
        <w:gridCol w:w="1353"/>
        <w:gridCol w:w="295"/>
        <w:gridCol w:w="861"/>
        <w:gridCol w:w="378"/>
        <w:gridCol w:w="109"/>
        <w:gridCol w:w="109"/>
        <w:gridCol w:w="109"/>
        <w:gridCol w:w="295"/>
        <w:gridCol w:w="861"/>
        <w:gridCol w:w="378"/>
        <w:gridCol w:w="109"/>
        <w:gridCol w:w="109"/>
        <w:gridCol w:w="109"/>
        <w:gridCol w:w="211"/>
        <w:gridCol w:w="466"/>
        <w:gridCol w:w="109"/>
        <w:gridCol w:w="109"/>
        <w:gridCol w:w="109"/>
        <w:gridCol w:w="109"/>
        <w:gridCol w:w="292"/>
        <w:gridCol w:w="292"/>
        <w:gridCol w:w="549"/>
      </w:tblGrid>
      <w:tr>
        <w:trPr/>
        <w:tc>
          <w:tcPr>
            <w:tcW w:w="153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 excluding costs below</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3,536 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step-up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1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(Net sales less Total cost of sales)</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3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percentage (Gross profit / Net sales)</w:t>
            </w:r>
          </w:p>
        </w:tc>
        <w:tc>
          <w:tcPr>
            <w:tcW w:w="11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3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sales during the fiscal year ended September 30, 2025 decreased as a percentage of net sales. This was primarily driven by the application of our three core value-driven operating strategy (obtaining profitable new business, continually improving our cost structure and providing highly engineered value-added products to customers) coupled with fixed overhead costs spread over higher production volume.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exchange rates continue to fluctuate; the loss is primarily attributable to the continued weakening of the U.S. dollar. Loss contract amortization fluctuates primarily based on the rate of actual to forecasted shipments of the products covered under the onerous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Selling and Administrative Expenses.</w:t>
      </w:r>
      <w:r>
        <w:rPr>
          <w:color w:val="000000"/>
        </w:rPr>
        <w:t xml:space="preserve"> </w:t>
      </w:r>
      <w:r>
        <w:rPr>
          <w:rFonts w:ascii="Times New Roman;serif" w:hAnsi="Times New Roman;serif"/>
          <w:b w:val="false"/>
          <w:color w:val="000000"/>
          <w:sz w:val="20"/>
        </w:rPr>
        <w:t>Selling and administrative expenses decreased by $35 million to $945 million for the fiscal year ended September 30, 2025. The related percentage of net sales for the fiscal years ended September 30, 2025 and 2024 were as follows (amounts in millions):</w:t>
      </w:r>
    </w:p>
    <w:tbl>
      <w:tblPr>
        <w:tblW w:w="10205" w:type="dxa"/>
        <w:jc w:val="left"/>
        <w:tblInd w:w="0" w:type="dxa"/>
        <w:tblLayout w:type="fixed"/>
        <w:tblCellMar>
          <w:top w:w="28" w:type="dxa"/>
          <w:left w:w="28" w:type="dxa"/>
          <w:bottom w:w="28" w:type="dxa"/>
          <w:right w:w="28" w:type="dxa"/>
        </w:tblCellMar>
      </w:tblPr>
      <w:tblGrid>
        <w:gridCol w:w="1653"/>
        <w:gridCol w:w="1402"/>
        <w:gridCol w:w="1406"/>
        <w:gridCol w:w="322"/>
        <w:gridCol w:w="711"/>
        <w:gridCol w:w="413"/>
        <w:gridCol w:w="109"/>
        <w:gridCol w:w="109"/>
        <w:gridCol w:w="109"/>
        <w:gridCol w:w="322"/>
        <w:gridCol w:w="711"/>
        <w:gridCol w:w="413"/>
        <w:gridCol w:w="109"/>
        <w:gridCol w:w="109"/>
        <w:gridCol w:w="109"/>
        <w:gridCol w:w="211"/>
        <w:gridCol w:w="426"/>
        <w:gridCol w:w="109"/>
        <w:gridCol w:w="109"/>
        <w:gridCol w:w="109"/>
        <w:gridCol w:w="109"/>
        <w:gridCol w:w="288"/>
        <w:gridCol w:w="288"/>
        <w:gridCol w:w="549"/>
      </w:tblGrid>
      <w:tr>
        <w:trPr/>
        <w:tc>
          <w:tcPr>
            <w:tcW w:w="165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 - excluding costs below</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4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and administrative expenses</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sales</w:t>
            </w:r>
          </w:p>
        </w:tc>
        <w:tc>
          <w:tcPr>
            <w:tcW w:w="103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4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1"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non-cash stock and deferred compensation expense is primarily attributable to the appreciation of the stock price at a higher rate in fiscal 2024 compared to fiscal 2025, as the stock price is a key input used to determine the Black-Scholes fair value for the non-cash stock compensation expense, and lower deferred compensation expense. </w:t>
      </w:r>
    </w:p>
    <w:p>
      <w:pPr>
        <w:pStyle w:val="TextBody"/>
        <w:bidi w:val="0"/>
        <w:spacing w:lineRule="auto" w:line="288" w:before="120" w:after="283"/>
        <w:ind w:left="0" w:right="0" w:hanging="432"/>
        <w:jc w:val="both"/>
        <w:rPr/>
      </w:pPr>
      <w:r>
        <w:rPr>
          <w:color w:val="212529"/>
        </w:rPr>
        <w:t>•</w:t>
      </w:r>
      <w:r>
        <w:rPr>
          <w:rFonts w:ascii="Times New Roman;serif" w:hAnsi="Times New Roman;serif"/>
          <w:b/>
          <w:i/>
          <w:color w:val="000000"/>
          <w:sz w:val="20"/>
        </w:rPr>
        <w:t>Interest Expense-net.</w:t>
      </w:r>
      <w:r>
        <w:rPr>
          <w:color w:val="000000"/>
        </w:rPr>
        <w:t xml:space="preserve"> </w:t>
      </w:r>
      <w:r>
        <w:rPr>
          <w:rFonts w:ascii="Times New Roman;serif" w:hAnsi="Times New Roman;serif"/>
          <w:b w:val="false"/>
          <w:color w:val="000000"/>
          <w:sz w:val="20"/>
        </w:rPr>
        <w:t xml:space="preserve">Interest expense-net includes interest on borrowings outstanding, amortization of debt issuance costs, original issue discount, revolving credit facility fees, finance leases, interest income and the impact of interest rate swaps, caps and collars designated and qualifying as cash flow hedges. Interest expense-net increased $286 million, or 22.2%, to $1,572 million for the fiscal year ended September 30, 2025 from $1,286 million for the fiscal year ended September 30, 2024. The increase in interest expense-net was primarily due to an increase in outstanding borrowings (refer to Note 10, “Debt” in the notes to the consolidated financial statements for information on our debt) and a decrease in interest income. The weighted average interest rate for cash interest payments on total borrowings outstanding was 6.3% for the fiscal years ended September 30, 2025 and September 30, 2024. </w:t>
      </w:r>
    </w:p>
    <w:p>
      <w:pPr>
        <w:pStyle w:val="TextBody"/>
        <w:bidi w:val="0"/>
        <w:spacing w:lineRule="auto" w:line="288" w:before="120" w:after="283"/>
        <w:ind w:left="0" w:right="0" w:hanging="432"/>
        <w:jc w:val="both"/>
        <w:rPr/>
      </w:pPr>
      <w:r>
        <w:rPr>
          <w:color w:val="212529"/>
          <w:shd w:fill="FFFFFF" w:val="clear"/>
        </w:rPr>
        <w:t>•</w:t>
      </w: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Income tax expense as a percentage of income before income taxes was approximately 21.1% for the fiscal year ended September 30, 2025 compared to 22.6% for the fiscal year ended September 30, 2024. Refer to Note 12, “Income Taxes”, in the notes to the consolidated financial statements included herein for additional information.</w:t>
      </w:r>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Earnings per Share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Basic and diluted earnings per share was $32.08 for the fiscal year ended September 30, 2025 and $25.62 for the fiscal year ended September 30, 2024. Net income attributable to TD Group for the fiscal year ended September 30, 2025 of $2,074 million was decreased by dividend equivalents of $208 million, or $3.58 per share, resulting in net income applicable to TD Group common stockholders of $1,866 million. Net income attributable to TD Group for the fiscal year ended September 30, 2024 of $1,714 million was decreased by dividend equivalents of $233 million, or $4.02 per share, resulting in net income applicable to TD Group common stockholders of $1,481 million.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Business Segments</w:t>
      </w:r>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Segment Net Sales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Net sales by segment for the fiscal years ended September 30, 2025 and 2024 were as follows (amounts in millions):</w:t>
      </w:r>
    </w:p>
    <w:tbl>
      <w:tblPr>
        <w:tblW w:w="9366" w:type="dxa"/>
        <w:jc w:val="left"/>
        <w:tblInd w:w="0" w:type="dxa"/>
        <w:tblLayout w:type="fixed"/>
        <w:tblCellMar>
          <w:top w:w="28" w:type="dxa"/>
          <w:left w:w="28" w:type="dxa"/>
          <w:bottom w:w="28" w:type="dxa"/>
          <w:right w:w="28" w:type="dxa"/>
        </w:tblCellMar>
      </w:tblPr>
      <w:tblGrid>
        <w:gridCol w:w="537"/>
        <w:gridCol w:w="472"/>
        <w:gridCol w:w="475"/>
        <w:gridCol w:w="211"/>
        <w:gridCol w:w="616"/>
        <w:gridCol w:w="109"/>
        <w:gridCol w:w="109"/>
        <w:gridCol w:w="109"/>
        <w:gridCol w:w="109"/>
        <w:gridCol w:w="312"/>
        <w:gridCol w:w="304"/>
        <w:gridCol w:w="651"/>
        <w:gridCol w:w="109"/>
        <w:gridCol w:w="109"/>
        <w:gridCol w:w="109"/>
        <w:gridCol w:w="211"/>
        <w:gridCol w:w="616"/>
        <w:gridCol w:w="109"/>
        <w:gridCol w:w="109"/>
        <w:gridCol w:w="109"/>
        <w:gridCol w:w="109"/>
        <w:gridCol w:w="312"/>
        <w:gridCol w:w="304"/>
        <w:gridCol w:w="651"/>
        <w:gridCol w:w="109"/>
        <w:gridCol w:w="109"/>
        <w:gridCol w:w="109"/>
        <w:gridCol w:w="211"/>
        <w:gridCol w:w="466"/>
        <w:gridCol w:w="109"/>
        <w:gridCol w:w="109"/>
        <w:gridCol w:w="109"/>
        <w:gridCol w:w="109"/>
        <w:gridCol w:w="255"/>
        <w:gridCol w:w="256"/>
        <w:gridCol w:w="5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6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5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Power &amp; Control segment increased $593 million primarily from increases in organic sales in defense, commercial aftermarket and commercial OEM.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Airframe segment increased $303 million primarily from increases in organic sales in defense and commercial aftermarket.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432"/>
        <w:jc w:val="both"/>
        <w:rPr/>
      </w:pPr>
      <w:r>
        <w:rPr>
          <w:color w:val="000000"/>
        </w:rPr>
        <w:t>•</w:t>
      </w:r>
      <w:r>
        <w:rPr>
          <w:rFonts w:ascii="Times New Roman;serif" w:hAnsi="Times New Roman;serif"/>
          <w:b/>
          <w:i/>
          <w:color w:val="000000"/>
          <w:sz w:val="20"/>
        </w:rPr>
        <w:t>EBITDA As Defined</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Refer to “Non-GAAP Financial Measures” in this discussion and analysis for additional information and limitations regarding these non-GAAP financial measures, including a reconciliation to the comparable U.S. GAAP financial measure. EBITDA As Defined by segment for the fiscal years ended September 30, 2025 and 2024 were as follows (amounts in millions):</w:t>
      </w:r>
    </w:p>
    <w:tbl>
      <w:tblPr>
        <w:tblW w:w="10205" w:type="dxa"/>
        <w:jc w:val="left"/>
        <w:tblInd w:w="0" w:type="dxa"/>
        <w:tblLayout w:type="fixed"/>
        <w:tblCellMar>
          <w:top w:w="28" w:type="dxa"/>
          <w:left w:w="28" w:type="dxa"/>
          <w:bottom w:w="28" w:type="dxa"/>
          <w:right w:w="28" w:type="dxa"/>
        </w:tblCellMar>
      </w:tblPr>
      <w:tblGrid>
        <w:gridCol w:w="979"/>
        <w:gridCol w:w="812"/>
        <w:gridCol w:w="791"/>
        <w:gridCol w:w="211"/>
        <w:gridCol w:w="616"/>
        <w:gridCol w:w="109"/>
        <w:gridCol w:w="109"/>
        <w:gridCol w:w="109"/>
        <w:gridCol w:w="109"/>
        <w:gridCol w:w="255"/>
        <w:gridCol w:w="256"/>
        <w:gridCol w:w="626"/>
        <w:gridCol w:w="109"/>
        <w:gridCol w:w="109"/>
        <w:gridCol w:w="109"/>
        <w:gridCol w:w="211"/>
        <w:gridCol w:w="616"/>
        <w:gridCol w:w="109"/>
        <w:gridCol w:w="109"/>
        <w:gridCol w:w="109"/>
        <w:gridCol w:w="109"/>
        <w:gridCol w:w="255"/>
        <w:gridCol w:w="256"/>
        <w:gridCol w:w="626"/>
        <w:gridCol w:w="109"/>
        <w:gridCol w:w="109"/>
        <w:gridCol w:w="109"/>
        <w:gridCol w:w="211"/>
        <w:gridCol w:w="466"/>
        <w:gridCol w:w="109"/>
        <w:gridCol w:w="109"/>
        <w:gridCol w:w="109"/>
        <w:gridCol w:w="109"/>
        <w:gridCol w:w="255"/>
        <w:gridCol w:w="256"/>
        <w:gridCol w:w="545"/>
      </w:tblGrid>
      <w:tr>
        <w:trPr/>
        <w:tc>
          <w:tcPr>
            <w:tcW w:w="97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w:t>
              <w:br/>
              <w:t>Net Sales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Segment</w:t>
              <w:b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&amp; Control</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6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6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Airframe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Unallocated corporate EBITDA As Defined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 EBITDA As Defined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Calculated as a percentage of consolidated net sales.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EBITDA As Defined for the Power &amp; Control and Airframe segments increased $344 million and $248 million, respectively, due to the increase in net sales described above, along with our application of our three core value-driven operating strategy.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Unallocated corporate EBITDA As Defined consists primarily of corporate expenses which includes compensation, benefits, professional services and other administrative costs incurred by our corporate offices. </w:t>
      </w: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 xml:space="preserve">Fiscal year ended September 30, 2024 compared with fiscal year ended September 30, 2023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our results of operations for fiscal 2024 compared with fiscal 2023, refer to the discussion in Item 7. “Management’s Discussion and Analysis of Financial Conditions and Results of Operations” of Form 10-K for the fiscal year ended September 30, 2024, as filed with the Securities and Exchange Commission on November 7,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maintained a capital structure comprising a mix of equity and debt financing. We vary our leverage both to optimize our equity return and to pursue acquisitions. We expect to meet our current debt obligations as they come due through internally generated funds from current levels of operations and/or through refinancing in the debt markets prior to the maturity dates of our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selected balance sheet, cash flow and other financial data relevant to the liquidity or capital resources of the Company for the periods specified below (amounts in millions):</w:t>
      </w:r>
    </w:p>
    <w:tbl>
      <w:tblPr>
        <w:tblW w:w="8831" w:type="dxa"/>
        <w:jc w:val="left"/>
        <w:tblInd w:w="0" w:type="dxa"/>
        <w:tblLayout w:type="fixed"/>
        <w:tblCellMar>
          <w:top w:w="28" w:type="dxa"/>
          <w:left w:w="28" w:type="dxa"/>
          <w:bottom w:w="28" w:type="dxa"/>
          <w:right w:w="28" w:type="dxa"/>
        </w:tblCellMar>
      </w:tblPr>
      <w:tblGrid>
        <w:gridCol w:w="1946"/>
        <w:gridCol w:w="1708"/>
        <w:gridCol w:w="1715"/>
        <w:gridCol w:w="348"/>
        <w:gridCol w:w="1017"/>
        <w:gridCol w:w="180"/>
        <w:gridCol w:w="109"/>
        <w:gridCol w:w="109"/>
        <w:gridCol w:w="109"/>
        <w:gridCol w:w="342"/>
        <w:gridCol w:w="999"/>
        <w:gridCol w:w="249"/>
      </w:tblGrid>
      <w:tr>
        <w:trPr/>
        <w:tc>
          <w:tcPr>
            <w:tcW w:w="19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Balance Sheet Data:</w:t>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(Total current assets less total current liabilities)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(1)</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Includes debt issuance costs and original issue discount. Refer to Note 10, “Debt,” in the notes to the consolidated financial statements included herein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6610" w:type="dxa"/>
        <w:jc w:val="left"/>
        <w:tblInd w:w="0" w:type="dxa"/>
        <w:tblLayout w:type="fixed"/>
        <w:tblCellMar>
          <w:top w:w="28" w:type="dxa"/>
          <w:left w:w="28" w:type="dxa"/>
          <w:bottom w:w="28" w:type="dxa"/>
          <w:right w:w="28" w:type="dxa"/>
        </w:tblCellMar>
      </w:tblPr>
      <w:tblGrid>
        <w:gridCol w:w="1450"/>
        <w:gridCol w:w="1273"/>
        <w:gridCol w:w="1282"/>
        <w:gridCol w:w="245"/>
        <w:gridCol w:w="716"/>
        <w:gridCol w:w="126"/>
        <w:gridCol w:w="126"/>
        <w:gridCol w:w="126"/>
        <w:gridCol w:w="126"/>
        <w:gridCol w:w="245"/>
        <w:gridCol w:w="716"/>
        <w:gridCol w:w="179"/>
      </w:tblGrid>
      <w:tr>
        <w:trPr/>
        <w:tc>
          <w:tcPr>
            <w:tcW w:w="145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Selected Cash Flow and Other Financial Data:</w:t>
            </w:r>
          </w:p>
        </w:tc>
        <w:tc>
          <w:tcPr>
            <w:tcW w:w="108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Ratio of earnings to fixed charges </w:t>
            </w:r>
            <w:r>
              <w:rPr>
                <w:rFonts w:ascii="Times New Roman;serif" w:hAnsi="Times New Roman;serif"/>
                <w:b w:val="false"/>
                <w:color w:val="000000"/>
                <w:sz w:val="13"/>
              </w:rPr>
              <w:t>(1)</w:t>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2.7x</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2.7x</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For purposes of computing the ratio of earnings to fixed charges, earnings consist of income from continuing operations before income taxes plus fixed charges. Fixed charges consist of interest expense, amortization of debt issuance costs and original issue discount and the “interest component” of rental expense.</w:t>
      </w:r>
    </w:p>
    <w:p>
      <w:pPr>
        <w:pStyle w:val="TextBody"/>
        <w:bidi w:val="0"/>
        <w:spacing w:lineRule="auto" w:line="288" w:before="160" w:after="283"/>
        <w:jc w:val="both"/>
        <w:rPr/>
      </w:pPr>
      <w:r>
        <w:rPr>
          <w:rFonts w:ascii="Times New Roman;serif" w:hAnsi="Times New Roman;serif"/>
          <w:b w:val="false"/>
          <w:i/>
          <w:color w:val="000000"/>
          <w:sz w:val="20"/>
        </w:rPr>
        <w:t>Significant Transactions</w:t>
      </w:r>
      <w:r>
        <w:rPr>
          <w:color w:val="000000"/>
        </w:rPr>
        <w:t xml:space="preserve"> </w:t>
      </w:r>
      <w:r>
        <w:rPr>
          <w:rFonts w:ascii="Times New Roman;serif" w:hAnsi="Times New Roman;serif"/>
          <w:b w:val="false"/>
          <w:i/>
          <w:color w:val="000000"/>
          <w:sz w:val="20"/>
        </w:rPr>
        <w:t>of Fiscal 2025 and Subsequent Events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Debt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the Company completed approximately $11,000 million in debt financing transactions, inclusive of new issuances and refinancing of existing debt. Below is further information on the significant debt financing transactions occurring in fiscal 2025: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On May 20, 2025, the Company completed the issuance of $2,650 million in 6.375% senior subordinated notes due 2033 (the “6.375% 2033 Notes”), which the net proceeds of approximately $2,615 million, along with existing cash on hand, were used to redeem all of its outstanding $2,650 million in 5.500% senior subordinated notes due 2027 (the “5.500% 2027 Notes”). The redemption occurred on June 20, 2025. </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On July 11, 2025, the Company amended its Securitization Facility to, among other things, (i) increase the borrowing capacity from $650 million to $725 million; and (ii) extend the maturity date to July 10, 2026 at an interest rate of Term SOFR plus 1.35% compared to an interest rate of Term SOFR plus 1.45% that applied prior to the amendment. Prior to the amendment, the Securitization Facility was fully drawn. As of September 30, 2025, the Securitization Facility was fully drawn as the remaining $75 million available was drawn in the fourth quarter of fiscal 2025.</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On August 19, 2025, the Company completed $5,000 million in new debt issuances. The new debt was comprised of the following: (i) $500 million in aggregate principal amount of senior secured notes due 2034 in a private offering at an issue price of 100% that bear interest at a rate of 6.250% (the “2034 Secured Notes”); (ii) $2,000 million in aggregate principal amount of senior subordinated notes due 2034 at an issue price of 100% that bear interest at a rate of 6.750% (the “6.750% 2034 Notes”); and (iii) $2,500 million of Tranche M term loans that bear interest at a rate of Term SOFR plus 2.50%. Original issue discount of 0.25%, or approximately $6 million, was paid to the lenders of the Tranche M term loans. The proceeds from the August 19, 2025 new debt issuances were used, along with existing cash on hand, to fund a $90.00 special dividend declaration on each outstanding share of common stock and cash dividend equivalent payments on eligible vested options outstanding under its stock option plans further described below.</w:t>
      </w:r>
    </w:p>
    <w:p>
      <w:pPr>
        <w:pStyle w:val="TextBody"/>
        <w:bidi w:val="0"/>
        <w:spacing w:lineRule="auto" w:line="288" w:before="100" w:after="283"/>
        <w:ind w:left="0" w:right="0" w:hanging="360"/>
        <w:jc w:val="both"/>
        <w:rPr/>
      </w:pPr>
      <w:r>
        <w:rPr>
          <w:color w:val="000000"/>
        </w:rPr>
        <w:t>•</w:t>
      </w:r>
      <w:r>
        <w:rPr>
          <w:rFonts w:ascii="Times New Roman;serif" w:hAnsi="Times New Roman;serif"/>
          <w:b w:val="false"/>
          <w:color w:val="000000"/>
          <w:sz w:val="20"/>
        </w:rPr>
        <w:t xml:space="preserve">On September 17, 2025, the Company (i) repriced all of its $1,686 million in existing Tranche K term loans to bear interest at Term SOFR plus 2.25% compared to Term SOFR plus 2.75% applicable prior to the transaction; and (ii) amended and extended $1,857 million in existing Tranche I term loans maturing August 24, 2028 and converted such loans into new Tranche K term loans maturing March 22, 2030 (collectively, the “Tranche K term loans” referred to herein are comprised of the existing Tranche K term loans and new Tranche K term loans as described above).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the Company completed approximately $413 million in acquisitions of businesses, net of cash acquired, including the acquisition of Servotronics, Inc. (“Servotronics”) completed on July 1, 2025 via a tender offer for approximately $133 million in cash. All fiscal 2025 acquisitions were financed using existing cash on hand.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6, 2025, the Company completed the acquisition of all the outstanding stock of the Simmonds Precision Products, Inc. Business (“Simmonds”) of Goodrich Corporation from RTX Corporation for approximately $757 million in cash. The acquisition was financed using existing cash on hand. The definitive agreement to acquire Simmonds was previously signed on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Special Dividends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18, 2024, the Company paid a special cash dividend of $75.00 per outstanding share of common stock and cash dividend equivalent payments on eligible vested options outstanding under its stock option plans, which was authorized and declared in September 2024 (fiscal 2024). The total cash payment in October 2024 (fiscal 2025) of special dividend and dividend equivalents from this declaration, which was funded by a combination of (i) $3,000 million in new senior secured debt issued on September 19, 2024; and (ii) existing cash on hand, was approximately $4,216 million in special dividends and $132 million in cash dividend equivalent payments. </w:t>
      </w:r>
    </w:p>
    <w:p>
      <w:pPr>
        <w:pStyle w:val="TextBody"/>
        <w:bidi w:val="0"/>
        <w:spacing w:lineRule="auto" w:line="288" w:before="100" w:after="283"/>
        <w:jc w:val="both"/>
        <w:rPr/>
      </w:pPr>
      <w:r>
        <w:rPr>
          <w:rFonts w:ascii="Times New Roman;serif" w:hAnsi="Times New Roman;serif"/>
          <w:b w:val="false"/>
          <w:color w:val="000000"/>
          <w:sz w:val="20"/>
          <w:shd w:fill="FFFFFF" w:val="clear"/>
        </w:rPr>
        <w:t xml:space="preserve">On August 20, 2025, </w:t>
      </w:r>
      <w:r>
        <w:rPr>
          <w:rFonts w:ascii="Times New Roman;serif" w:hAnsi="Times New Roman;serif"/>
          <w:b w:val="false"/>
          <w:color w:val="000000"/>
          <w:sz w:val="20"/>
        </w:rPr>
        <w:t>the Company's Board of Directors authorized and declared a special cash dividend of $90.00 per outstanding share of common stock and cash dividend equivalent payments on eligible vested options outstanding under its stock option plans. The total cash payment in September 2025 of special dividend and dividend equivalents from this declaration, which was funded by a combination of (i) $5,000 million in new senior secured and unsecured debt issued on August 19, 2025 (as noted above); and (ii) existing cash on hand, was approximately $5,073 million in special dividends and $159 million in cash dividend equivalent payments.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Repurchases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various points in fiscal 2025, the Company repurchased, in aggregate, 401,036 shares of common stock at an average price of $1,246.71 per share for a total amount of $500 million. </w:t>
      </w:r>
    </w:p>
    <w:p>
      <w:pPr>
        <w:pStyle w:val="TextBody"/>
        <w:bidi w:val="0"/>
        <w:spacing w:lineRule="auto" w:line="288" w:before="100" w:after="283"/>
        <w:jc w:val="both"/>
        <w:rPr/>
      </w:pPr>
      <w:r>
        <w:rPr>
          <w:rFonts w:ascii="Times New Roman;serif" w:hAnsi="Times New Roman;serif"/>
          <w:b w:val="false"/>
          <w:color w:val="000000"/>
          <w:sz w:val="20"/>
        </w:rPr>
        <w:t>In October 2025, the Company repurchased</w:t>
      </w:r>
      <w:r>
        <w:rPr>
          <w:color w:val="000000"/>
        </w:rPr>
        <w:t xml:space="preserve"> </w:t>
      </w:r>
      <w:r>
        <w:rPr>
          <w:rFonts w:ascii="Times New Roman;serif" w:hAnsi="Times New Roman;serif"/>
          <w:b w:val="false"/>
          <w:color w:val="000000"/>
          <w:sz w:val="20"/>
        </w:rPr>
        <w:t>79,959 shares of common stock at an average price of $1,249.90 per share for a total amount of $100 million. Whether the Company undertakes additional share repurchases or other aforementioned activities will depend on prevailing market conditions, the Company's liquidity requirements, contractual restrictions and other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2025, the Board of Directors authorized an additional $5,000 million in share repurchases of common stock permissible under the Company’s existing stock repurchase program, subject to any restrictions specified in the Credit Agreement and indentures governing the existing Subordinated and Secured Notes.</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 * * * *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If the Company has excess cash, it generally prioritizes allocating the excess cash in the following manner: (1) capital spending at existing businesses, (2) acquisitions of businesses, (3) payment of a special dividend and/or repurchases of our common stock and (4) prepayment of indebtedness or repurchase of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ability to make scheduled interest payments on, or to refinance, the Company’s indebtedness, or to fund non-acquisition related capital expenditures and research and development efforts, will depend on the Company’s ability to generate cash in the future. This is subject to general economic, financial, competitive, legislative, regulatory and other factors that are beyond its control.</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Company's objective is to maintain an allocation of at least 75% fixed rate and 25% variable rate debt thereby limiting its exposure to changes in near-term interest rates. Interest rate swaps, caps and collars used to hedge and offset, respectively, the variable interest rates on our term loans are further described in Note 18, “Derivatives and Hedging Activities,” in the notes to the consolidated financial statements included herein. </w:t>
      </w:r>
      <w:r>
        <w:rPr>
          <w:rFonts w:ascii="Times New Roman;serif" w:hAnsi="Times New Roman;serif"/>
          <w:b w:val="false"/>
          <w:color w:val="000000"/>
          <w:sz w:val="20"/>
        </w:rPr>
        <w:t>As of September 30, 2025, approximately 75% of our gross debt was fixed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has significant cash liquidity as illustrated in the table presented below (in millions): </w:t>
      </w:r>
    </w:p>
    <w:tbl>
      <w:tblPr>
        <w:tblW w:w="5354" w:type="dxa"/>
        <w:jc w:val="left"/>
        <w:tblInd w:w="0" w:type="dxa"/>
        <w:tblLayout w:type="fixed"/>
        <w:tblCellMar>
          <w:top w:w="28" w:type="dxa"/>
          <w:left w:w="28" w:type="dxa"/>
          <w:bottom w:w="28" w:type="dxa"/>
          <w:right w:w="28" w:type="dxa"/>
        </w:tblCellMar>
      </w:tblPr>
      <w:tblGrid>
        <w:gridCol w:w="1211"/>
        <w:gridCol w:w="1064"/>
        <w:gridCol w:w="1070"/>
        <w:gridCol w:w="432"/>
        <w:gridCol w:w="1262"/>
        <w:gridCol w:w="315"/>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31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on revolving credit facility</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liquidity</w:t>
            </w:r>
          </w:p>
        </w:tc>
        <w:tc>
          <w:tcPr>
            <w:tcW w:w="4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3,665 </w:t>
            </w:r>
          </w:p>
        </w:tc>
        <w:tc>
          <w:tcPr>
            <w:tcW w:w="3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our significant cash liquidity will allow us to meet our anticipated funding requirements. We expect to meet our short-term cash liquidity requirements (including interest obligations and capital expenditures) through net cash from operating activities, cash on hand and, if needed, draws on the revolving credit facility. Long-term cash liquidity requirements consist primarily of obligations under our long-term debt agreements. There is no maturity on any tranche of term loans or notes until August 2028 (fiscal 2028).</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estimates its capital expenditures in fiscal year 2026 to be approximately 2.50% to 3.25% of net sales. The Company’s capital expenditures incurred from year-to-year are funded using existing cash on hand and are primarily for projects that are consistent with our three core value-driven operating strategy (obtaining profitable new business, continually improving our cost structure and providing highly engineered value-added products to customers) such as automation projects.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continued application of our three core value-driven operating strategy, we expect our efforts will continue to generate strong margins and provide sufficient cash provided by operating activities to meet our interest obligations and liquidity needs. We believe our cash provided by operating activities and available borrowing capacity will enable us to make strategic business acquisitions, pay dividends to our shareholders and make opportunistic investments in our own stock, subject to any restrictions in our existing Credit Agreement and market conditions.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issue additional debt if prevailing market conditions are favorable to doing so. In addition, the Company may increase its borrowings in connection with acquisitions, if cash flow from operating activities becomes insufficient to fund current operations or for other short-term cash needs or for common stock repurchases or dividends. Our future leverage will also be impacted by the then current conditions of the credit markets. </w:t>
      </w:r>
    </w:p>
    <w:p>
      <w:pPr>
        <w:pStyle w:val="TextBody"/>
        <w:bidi w:val="0"/>
        <w:spacing w:lineRule="auto" w:line="288" w:before="120" w:after="283"/>
        <w:jc w:val="both"/>
        <w:rPr/>
      </w:pPr>
      <w:r>
        <w:rPr>
          <w:rFonts w:ascii="Times New Roman;serif" w:hAnsi="Times New Roman;serif"/>
          <w:b w:val="false"/>
          <w:i/>
          <w:color w:val="000000"/>
          <w:sz w:val="20"/>
        </w:rPr>
        <w:t>Operating Activities</w:t>
      </w:r>
      <w:r>
        <w:rPr>
          <w:rFonts w:ascii="Times New Roman;serif" w:hAnsi="Times New Roman;serif"/>
          <w:b w:val="false"/>
          <w:color w:val="000000"/>
          <w:sz w:val="20"/>
        </w:rPr>
        <w:t>. The Company generated $2,038 million of net cash from operating activities during fiscal 2025 compared to $2,045 million during fiscal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trade accounts receivable during fiscal 2025 was a use of cash of $212 million compared to a use of cash of $84 million in fiscal 2024. The increase is primarily attributable to increased revenue. The Company actively manages its accounts receivable, the related agings and collection efforts.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inventories during fiscal 2025 was a use of cash of $156 million compared to a use of cash of $104 million in fiscal 2024. The increase is due to an increase in raw materials to support the fiscal 2026 sales demand. The Company manages inventory levels in support of customer needs.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accounts payable during fiscal 2025 was a source of cash of $38 million compared to a use of cash of $11 million in fiscal 2024. The change is due to the timing of payments to suppliers.</w:t>
      </w:r>
    </w:p>
    <w:p>
      <w:pPr>
        <w:pStyle w:val="TextBody"/>
        <w:bidi w:val="0"/>
        <w:spacing w:lineRule="auto" w:line="288" w:before="120" w:after="283"/>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Net cash used in investing activities was $595 million during fiscal 2025, consisting of $419 million from the acquisition of Servotronics and other acquisitions of businesses completed during fiscal 2025 and capital expenditures of $222 million; partially offset by other investing transactions, net, of $46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$2,441 million during fiscal 2024, consisting of $2,347 million from the acquisitions of Raptor Scientific, the Electron Device Business of Communications &amp; Power Industries (“CPI's Electron Device Business”) and other acquisitions of businesses completed during fiscal 2024 and capital expenditures of $165 million; partially offset by other investing transactions, net, of $71 million. </w:t>
      </w:r>
    </w:p>
    <w:p>
      <w:pPr>
        <w:pStyle w:val="TextBody"/>
        <w:bidi w:val="0"/>
        <w:spacing w:lineRule="auto" w:line="288" w:before="120" w:after="283"/>
        <w:jc w:val="both"/>
        <w:rPr/>
      </w:pPr>
      <w:r>
        <w:rPr>
          <w:rFonts w:ascii="Times New Roman;serif" w:hAnsi="Times New Roman;serif"/>
          <w:b w:val="false"/>
          <w:i/>
          <w:color w:val="000000"/>
          <w:sz w:val="20"/>
        </w:rPr>
        <w:t>Financing Activities</w:t>
      </w:r>
      <w:r>
        <w:rPr>
          <w:rFonts w:ascii="Times New Roman;serif" w:hAnsi="Times New Roman;serif"/>
          <w:b w:val="false"/>
          <w:color w:val="000000"/>
          <w:sz w:val="20"/>
        </w:rPr>
        <w:t>. Net cash used in financing activities was $4,900 million during fiscal 2025. The use of cash was primarily attributable to special dividend and dividend equivalent payments of $9,629 million plus repurchases of common stock of $500 million; partially offset by the net proceeds of short-term and long-term debt, including fees, of $5,063 million plus proceeds from stock option exercises of $166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$3,171 million during fiscal 2024. The source of cash was primarily attributable to the net proceeds of short-term and long-term debt, including fees, of $4,965 million plus proceeds from stock option exercises of $245 million; partially offset by special dividend and dividend equivalent payments of $2,038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Description of Senior Secured Term Loans and Indentures</w:t>
      </w:r>
    </w:p>
    <w:p>
      <w:pPr>
        <w:pStyle w:val="TextBody"/>
        <w:bidi w:val="0"/>
        <w:spacing w:lineRule="auto" w:line="288" w:before="120" w:after="283"/>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Senior Secured Term Loans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 has $11,124 million in fully drawn term loans under the Term Loans Facility as of September 30, 2025 and a $910 million revolving credit facility. The Term Loans Facility consists of four tranches of term loans (refer to Note 10, “Debt” in the notes to the consolidated financial statements for information on our term loans).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Term Loans Facility requires quarterly aggregate principal payments of approximately $28 million. The revolving commitments consist of two tranches which include up to $139 million of multicurrency revolving commitments. At September 30, 2025, the Company had $53 million in letters of credit outstanding and $857 million in borrowings available under the revolving commitments. Draws on the revolving commitments are subject to an interest rate of 2.25%. The unused portion of the revolving commitments is subject to a fee of 0.50% per annum. The maturity date of the revolving credit facility is February 27, 2029.</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rates per annum applicable to the Term Loans Facility under the Credit Agreement are, at TransDigm’s option, equal to either an alternate base rate or an adjusted Term SOFR for one, three or six-month interest periods chosen by TransDigm, in each case plus an applicable margin percentage. The adjusted Term SOFR related to the Term Loans Facility are not subject to a floor. Refer to Note 18, “Derivatives and Hedging Activities,” in the notes to the consolidated financial statements included herein for information about how our interest rate swaps, cap and collar agreements are used to hedge and offset, respectively, the variable interest rate portion of our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495"/>
        <w:jc w:val="both"/>
        <w:rPr>
          <w:rFonts w:ascii="Times New Roman;serif" w:hAnsi="Times New Roman;serif"/>
          <w:b w:val="false"/>
          <w:i/>
          <w:color w:val="000000"/>
          <w:sz w:val="20"/>
        </w:rPr>
      </w:pPr>
      <w:r>
        <w:rPr>
          <w:rFonts w:ascii="Times New Roman;serif" w:hAnsi="Times New Roman;serif"/>
          <w:b w:val="false"/>
          <w:i/>
          <w:color w:val="000000"/>
          <w:sz w:val="20"/>
        </w:rPr>
        <w:t>Indentures</w:t>
      </w:r>
    </w:p>
    <w:p>
      <w:pPr>
        <w:pStyle w:val="TextBody"/>
        <w:bidi w:val="0"/>
        <w:spacing w:lineRule="auto" w:line="288" w:before="120" w:after="10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senior subordinated and secured notes outstanding as of September 30, 2025:</w:t>
      </w:r>
    </w:p>
    <w:tbl>
      <w:tblPr>
        <w:tblW w:w="7278"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524"/>
        <w:gridCol w:w="524"/>
        <w:gridCol w:w="526"/>
        <w:gridCol w:w="109"/>
        <w:gridCol w:w="109"/>
        <w:gridCol w:w="109"/>
        <w:gridCol w:w="559"/>
        <w:gridCol w:w="559"/>
        <w:gridCol w:w="562"/>
        <w:gridCol w:w="109"/>
        <w:gridCol w:w="109"/>
        <w:gridCol w:w="109"/>
        <w:gridCol w:w="319"/>
        <w:gridCol w:w="319"/>
        <w:gridCol w:w="45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1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4.875%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7.125%</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6.625%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15,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31, 2033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6.375%</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6.250%</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31,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Collectively, referred to as the “Subordinated Notes” herein.</w:t>
      </w:r>
    </w:p>
    <w:p>
      <w:pPr>
        <w:pStyle w:val="TextBody"/>
        <w:bidi w:val="0"/>
        <w:spacing w:lineRule="auto" w:line="288" w:before="60" w:after="283"/>
        <w:ind w:left="0" w:right="0" w:hanging="432"/>
        <w:jc w:val="both"/>
        <w:rPr/>
      </w:pPr>
      <w:r>
        <w:rPr>
          <w:rFonts w:ascii="Times New Roman;serif" w:hAnsi="Times New Roman;serif"/>
          <w:b w:val="false"/>
          <w:color w:val="000000"/>
          <w:sz w:val="13"/>
        </w:rPr>
        <w:t>(2)</w:t>
      </w:r>
      <w:r>
        <w:rPr>
          <w:rFonts w:ascii="Times New Roman;serif" w:hAnsi="Times New Roman;serif"/>
          <w:b w:val="false"/>
          <w:color w:val="000000"/>
          <w:sz w:val="20"/>
        </w:rPr>
        <w:t>Collectively, referred to as the “Secured Notes”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Subordinated Notes and Secured Notes do not require principal payments prior to their maturity. Interest under the Subordinated Notes and Secured Notes is payable semi-annually. The Subordinated Notes represent our unsecured obligations ranking subordinate to our senior debt, as defined in the applicable indentures. The Secured Notes represent our secured obligations ranking equally to all existing and future senior debt, as defined in the applicable indentures. The Subordinated Notes and Secured Notes contain many of the restrictive covenants included in the Credit Agreement. TransDigm is in compliance with all of the covenants contained in the Subordinated Notes and Secured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Guarantor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Subordinated Notes are subordinated to all of our existing and future senior secured debt, including indebtedness under TransDigm’s existing senior secured credit facilities, rank equally with all of our existing and future senior subordinated debt and rank senior to all of our future debt that is expressly subordinated to the Subordinated Notes. The 4.625% 2029 Notes and the 4.875% 2029 Notes are fully and unconditionally guaranteed on a senior subordinated unsecured basis by TransDigm Group, TransDigm UK and TransDigm Inc.’s Domestic Restricted Subsidiaries (as defined in the applicable indentures). The 6.375% 2033 Notes and the 6.750% 2034 Notes are guaranteed, on a senior subordinated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table set forth in Exhibit 22.1 filed with this Form 10-K details the primary obligors and guarantors. The guarantees of the Subordinated Notes are subordinated to all of the guarantors’ existing and future senior debt, rank equally with all of their existing and future senior subordinated debt and rank senior to all of their future debt that is expressly subordinated to the guarantees of the Subordinated Notes. The Subordinated Notes are structurally subordinated to all of the liabilities of TransDigm Group’s non-guarantor subsidiaries.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Secured Notes are senior secured debt of TransDigm and rank equally in right of payment with all of TransDigm’s existing and future senior secured debt, including indebtedness under TransDigm’s existing senior secured credit facilities, and are senior in right of payment to all of TransDigm’s existing and future senior subordinated debt, including the Subordinated Notes. The 2028 Secured Notes are guaranteed on a senior secured basis by TransDigm Group, TransDigm UK and TransDigm Inc.’s Domestic Restricted Subsidiaries (as defined in the applicable indentures). The 2029 Secured Notes, 2030 Secured Notes, 2031 Secured Notes, 2032 Secured Notes, 2033 Secured Notes and 2034 Secured Notes are guaranteed on a senior secured basis by TransDigm Group and each of TransDigm Inc.’s direct and indirect Restricted Subsidiaries (as defined in the applicable indenture) that is a borrower or guarantor under TransDigm’s senior secured credit facilities or that issues or guarantees any capital markets indebtedness of TransDigm Inc. or any of the guarantors in an aggregate principal amount of at least $200 million. As of the date of this Form 10-K, the guarantors of the 2029 Secured Notes, 2030 Secured Notes, 2031 Secured Notes, 2032 Secured Notes, 2033 Secured Notes and 2034 Secured Notes are the same as the guarantors of the 2028 Secured Notes. The table set forth in Exhibit 22.1 filed with this Form 10-K details the primary obligors and guarantors. The guarantees of the Secured Notes rank equally in right of payment with all of the guarantors’ existing and future senior secured debt and are senior in right of payment to all of their existing and future senior subordinated debt. The Secured Notes are structurally subordinated to all of the liabilities of TransDigm’s non-guarantor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Separate financial statements of TransDigm Inc. are not presented because the Subordinated Notes and Secured Notes are fully and unconditionally guaranteed on a senior subordinated unsecured basis (if Subordinated Notes) and senior secured basis (if Secured Notes) by TransDigm Group, TransDigm UK and all of TransDigm Inc.'s Domestic Restricted Subsidiaries. TransDigm Group has no significant operations or assets separate from its investment in TransDigm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presented is that of TransDigm Group, TransDigm Inc. and the other Guarantors, which includes TransDigm UK, on a combined basis and the financial information of non-issuer and non-guarantor subsidiaries has been excluded. Intercompany balances and transactions between TransDigm Group, TransDigm Inc. and the other Guarantors have been eliminated, and amounts due from, amounts due to, and transactions with non-issuer and non-guarantor subsidiaries have been presented separately. </w:t>
      </w:r>
    </w:p>
    <w:tbl>
      <w:tblPr>
        <w:tblW w:w="8085" w:type="dxa"/>
        <w:jc w:val="left"/>
        <w:tblInd w:w="0" w:type="dxa"/>
        <w:tblLayout w:type="fixed"/>
        <w:tblCellMar>
          <w:top w:w="28" w:type="dxa"/>
          <w:left w:w="28" w:type="dxa"/>
          <w:bottom w:w="28" w:type="dxa"/>
          <w:right w:w="28" w:type="dxa"/>
        </w:tblCellMar>
      </w:tblPr>
      <w:tblGrid>
        <w:gridCol w:w="2354"/>
        <w:gridCol w:w="2069"/>
        <w:gridCol w:w="2072"/>
        <w:gridCol w:w="342"/>
        <w:gridCol w:w="999"/>
        <w:gridCol w:w="249"/>
      </w:tblGrid>
      <w:tr>
        <w:trPr/>
        <w:tc>
          <w:tcPr>
            <w:tcW w:w="23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4,494 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due (from) to subsidiaries that are non-issuers and non-guarantors-net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65" w:type="dxa"/>
        <w:jc w:val="left"/>
        <w:tblInd w:w="0" w:type="dxa"/>
        <w:tblLayout w:type="fixed"/>
        <w:tblCellMar>
          <w:top w:w="28" w:type="dxa"/>
          <w:left w:w="28" w:type="dxa"/>
          <w:bottom w:w="28" w:type="dxa"/>
          <w:right w:w="28" w:type="dxa"/>
        </w:tblCellMar>
      </w:tblPr>
      <w:tblGrid>
        <w:gridCol w:w="2090"/>
        <w:gridCol w:w="1834"/>
        <w:gridCol w:w="1851"/>
        <w:gridCol w:w="342"/>
        <w:gridCol w:w="999"/>
        <w:gridCol w:w="249"/>
      </w:tblGrid>
      <w:tr>
        <w:trPr/>
        <w:tc>
          <w:tcPr>
            <w:tcW w:w="2090"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subsidiaries that are non-issuers and non-guarantors</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from subsidiaries that are non-issuers and non-guarantors-net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Certain Restrictive Covenants in Our Debt Documents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indentures governing the Subordinated Notes and Secured Notes contain restrictive covenants that, among other things, limit the incurrence of additional indebtedness, the payment of special dividends, transactions with affiliates, asset sales, acquisitions, mergers and consolidations, liens and encumbrances, and prepayments of certain other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restrictive covenants included in the Credit Agreement are subject to amendments executed periodically. The most recent amendment that impacted the restrictive covenants contained in the Credit Agreement is Amendment No. 15, executed on March 22,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TransDigm is entitled, on one or more occasions, to request additional term loans or additional revolving commitments to the extent that the existing or new lenders agree to provide such incremental term loans or additional revolving commitments provided that, among other conditions, our consolidated net leverage ratio would be no greater than 7.25x and the consolidated secured net debt ratio would be no greater than 5.00x, in each case, after giving effect to such incremental term loans or additional revolving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such default occurs, the lenders under the Credit Agreement and the holders of the Subordinated Notes and Secured Notes may elect to declare all outstanding borrowings, together with accrued interest and other amounts payable thereunder, to be immediately due and payable. The lenders under the Credit Agreement also have the right in these circumstances to terminate any commitments they have to provide further borrowings. In addition, following an event of default under the Credit Agreement, the lenders thereunder and the holders of the Secured Notes will have the right to proceed against the collateral granted to them to secure the debt, which includes our available cash, and they will also have the right to prevent us from making debt service payments on the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With the exception of the revolving credit facility, the Company has no maintenance covenants in its existing term loan and indenture agreements. Under the Credit Agreement, if the usage of the revolving credit facility exceeds 40% (or, currently, $364 million) of the total revolving commitments, the Company is required to maintain a maximum consolidated net leverage ratio of net debt to trailing four-quarter EBITDA As Defined of 7.50x (or, solely with respect to the first four fiscal quarters ending after the consummation of any material acquisition, 8.00x) as of the last day of the fiscal quarter.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was in compliance with all of its debt covenants and expects to remain in compliance with its debt covenants in subsequent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Trade Receivable Securitization Facility</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11, 2025, the Company amended the Securitization Facility to, among other things, (i) increase the borrowing capacity from $650 million to $725 million; and (ii) extend the maturity date to July 10, 2026 at an interest rate of Term SOFR plus 1.35% compared to an interest rate of Term SOFR plus 1.45% that applied prior to the amendment. Prior to the amendment, the Securitization Facility was fully drawn.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Securitization Facility was fully drawn as the remaining $75 million available was drawn in the fourth quarter of fiscal 2025. At September 30, 2025, the applicable interest rate was 5.67%. The Securitization Facility is collateralized by substantially all of the Company’s domestic operations’ trade accounts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cash requirements from all significant contractual obligations as of September 30, 2025 (in millions):</w:t>
      </w:r>
    </w:p>
    <w:tbl>
      <w:tblPr>
        <w:tblW w:w="10205" w:type="dxa"/>
        <w:jc w:val="left"/>
        <w:tblInd w:w="0" w:type="dxa"/>
        <w:tblLayout w:type="fixed"/>
        <w:tblCellMar>
          <w:top w:w="28" w:type="dxa"/>
          <w:left w:w="28" w:type="dxa"/>
          <w:bottom w:w="28" w:type="dxa"/>
          <w:right w:w="28" w:type="dxa"/>
        </w:tblCellMar>
      </w:tblPr>
      <w:tblGrid>
        <w:gridCol w:w="1277"/>
        <w:gridCol w:w="1123"/>
        <w:gridCol w:w="112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Due by Period</w:t>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Between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Between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w:t>
            </w:r>
          </w:p>
        </w:tc>
      </w:tr>
      <w:tr>
        <w:trPr/>
        <w:tc>
          <w:tcPr>
            <w:tcW w:w="3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 Years</w:t>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Subordinated and Secured Notes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11,300 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Loans Facility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Scheduled interest payments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r>
      <w:tr>
        <w:trPr/>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5,934 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20,942 </w:t>
            </w:r>
          </w:p>
        </w:tc>
        <w:tc>
          <w:tcPr>
            <w:tcW w:w="15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212529"/>
          <w:sz w:val="13"/>
        </w:rPr>
        <w:t>(1)</w:t>
      </w:r>
      <w:r>
        <w:rPr>
          <w:rFonts w:ascii="Times New Roman;serif" w:hAnsi="Times New Roman;serif"/>
          <w:b w:val="false"/>
          <w:color w:val="000000"/>
          <w:sz w:val="20"/>
        </w:rPr>
        <w:t>Represents principal maturities which excludes interest, debt issuance costs and original issue discount.</w:t>
      </w:r>
    </w:p>
    <w:p>
      <w:pPr>
        <w:pStyle w:val="TextBody"/>
        <w:bidi w:val="0"/>
        <w:spacing w:lineRule="auto" w:line="288" w:before="60" w:after="283"/>
        <w:ind w:left="0" w:right="0" w:hanging="432"/>
        <w:jc w:val="both"/>
        <w:rPr/>
      </w:pPr>
      <w:r>
        <w:rPr>
          <w:rFonts w:ascii="Times New Roman;serif" w:hAnsi="Times New Roman;serif"/>
          <w:b w:val="false"/>
          <w:color w:val="000000"/>
          <w:sz w:val="13"/>
        </w:rPr>
        <w:t>(2)</w:t>
      </w:r>
      <w:r>
        <w:rPr>
          <w:rFonts w:ascii="Times New Roman;serif" w:hAnsi="Times New Roman;serif"/>
          <w:b w:val="false"/>
          <w:color w:val="000000"/>
          <w:sz w:val="20"/>
        </w:rPr>
        <w:t>Refer to Note 10, “Debt,” in the notes to the consolidated financial statements included herein for information on the maturity date of each tranche of term loans. The Term Loans Facility requires quarterly aggregate principal payments of approximately $28 million.</w:t>
      </w:r>
    </w:p>
    <w:p>
      <w:pPr>
        <w:pStyle w:val="TextBody"/>
        <w:bidi w:val="0"/>
        <w:spacing w:lineRule="auto" w:line="288" w:before="60" w:after="283"/>
        <w:ind w:left="0" w:right="0" w:hanging="432"/>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Assumes that the variable interest rate on our existing term loans under our Term Loans Facility ranges from approximately 5.50% to 6.75% based on anticipated movements in Term SOFR, which given the ongoing volatility in rates, are highly uncertain. In addition, interest payments include the impact of the existing interest rate swap and collar agreements described in Note 18, “Derivatives and Hedging Activities,” in the notes to the consolidated financial statements included herein. </w:t>
      </w:r>
    </w:p>
    <w:p>
      <w:pPr>
        <w:pStyle w:val="TextBody"/>
        <w:bidi w:val="0"/>
        <w:spacing w:lineRule="auto" w:line="288" w:before="160" w:after="283"/>
        <w:ind w:left="0" w:right="0" w:hanging="72"/>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utilizes letters of credit to back certain payment and performance obligations. Letters of credit are subject to limits based on amounts outstanding under the Company’s revolving credit facility. As of September 30, 2025, the Company had $53 million in letters of credit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conformity with generally accepted accounting principles in the United States (“U.S. GAAP”), which often requires the judgment of management in the selection and application of certain accounting principles and methods. Management believes that the quality and reasonableness of our most critical policies enable the fair presentation of our financial position and results of operations. However, investors are cautioned that the sensitivity of financial statements to these methods, assumptions and estimates could create materially different results under different conditions or using different assumptions.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Below are those policies applied in preparing our financial statements that management believes are the most dependent on the application of estimates and assumptions. For additional significant accounting policies, see Note 1, “Summary of Significant Accounting Policies,” in the notes to the consolidated financial statements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Revenue Recognition </w:t>
      </w:r>
      <w:r>
        <w:rPr>
          <w:color w:val="000000"/>
        </w:rPr>
        <w:t xml:space="preserve">– </w:t>
      </w:r>
      <w:r>
        <w:rPr>
          <w:rFonts w:ascii="Times New Roman;serif" w:hAnsi="Times New Roman;serif"/>
          <w:b w:val="false"/>
          <w:color w:val="000000"/>
          <w:sz w:val="20"/>
        </w:rPr>
        <w:t xml:space="preserve">The Company recognizes revenue from contracts with customers using the five step model prescribed in ASC 606. A substantial portion of the Company's revenue is recorded at a point in time.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 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 For agreements with multiple performance obligations, judgment is required to determine whether performance obligations specified in these agreements are distinct and should be accounted for as separate revenue transactions for recognition purposes based on the standalone selling price of each performance obligation. The primary method used to estimate a standalone selling price is the price observed in standalone sales to customers for the same product or service. We consider the contractual consideration payable by the customer and assesses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 </w:t>
      </w:r>
    </w:p>
    <w:p>
      <w:pPr>
        <w:pStyle w:val="TextBody"/>
        <w:bidi w:val="0"/>
        <w:spacing w:lineRule="auto" w:line="288" w:before="120" w:after="283"/>
        <w:jc w:val="both"/>
        <w:rPr/>
      </w:pPr>
      <w:r>
        <w:rPr>
          <w:rFonts w:ascii="Times New Roman;serif" w:hAnsi="Times New Roman;serif"/>
          <w:b/>
          <w:i/>
          <w:color w:val="000000"/>
          <w:sz w:val="20"/>
        </w:rPr>
        <w:t xml:space="preserve">Goodwill and Other Intangible Assets </w:t>
      </w:r>
      <w:r>
        <w:rPr>
          <w:color w:val="000000"/>
        </w:rPr>
        <w:t xml:space="preserve">– </w:t>
      </w:r>
      <w:r>
        <w:rPr>
          <w:rFonts w:ascii="Times New Roman;serif" w:hAnsi="Times New Roman;serif"/>
          <w:b w:val="false"/>
          <w:color w:val="000000"/>
          <w:sz w:val="20"/>
        </w:rPr>
        <w:t>In accordance with ASC 805, “Business Combinations,” the Company uses the acquisition method of accounting to allocate costs of acquired businesses to the assets acquired and liabilities assumed based on their estimated fair values at the dates of acquisition. The excess costs of acquired businesses over the fair values of the assets acquired and liabilities assumed are recognized as goodwill. The valuations of the acquired assets and liabilities will impact the determination of future operating results. Determining the fair value of assets acquired and liabilities assumed requires management’s judgment and often involves the use of significant estimates and assumptions, including assumptions with respect to future cash inflows and outflows, revenue growth rates and earnings before interest, taxes, depreciation and amortization (“EBITDA”) margins, discount rates, customer attrition rates, royalty rates, asset lives and market multiples, among other items. We determine the fair values of intangible assets acquired generally in consultation with third-party valuation advisors. Fair value adjustments to the Company’s assets and liabilities are recognized and the results of operations of the acquired business are included in our consolidated financial statements from the effective date of the merger or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other than goodwill are recognized if the benefit of the intangible asset is obtained through contractual or other legal rights, or if the intangible asset can be sold, transferred, licensed or exchanged, regardless of the Company’s intent to do so. Goodwill and identifiable intangible assets are recorded at their estimated fair value on the date of acquisition and are reviewed at least annually for impairment based on cash flow projections and fair value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GAAP requires that the annual, and any interim, goodwill impairment assessment be performed at the reporting unit level. Our reporting units have been identified at the operating unit level, which is one level below our operating segments.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Companies may perform a qualitative assessment as the initial step in the annual goodwill impairment testing process for all or selected reporting units. Companies are also allowed to bypass the qualitative analysis and perform a quantitative analysis if desired. Economic uncertainties and the length of time from the calculation of a baseline fair value are factors that we consider in determining whether to perform a quantitative test.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we evaluate the potential for goodwill impairment using a qualitative assessment, we consider factors including, but not limited to, macroeconomic conditions, industry conditions, the competitive environment, changes in the market for our products and services, regulatory and political developments, entity specific factors such as strategy and changes in key personnel and overall financial performance. If, after completing this assessment, it is determined that it is more-likely-than-not that the fair value of a reporting unit is less than its carrying value, we proceed to a quantitative impairment test. For the quantitative test, management determines the estimated fair value through the use of a discounted cash flow valuation model incorporating discount rates commensurate with the risks involved for each reporting unit. If the estimated fair value of the reporting unit is less than the current carrying value, impairment of goodwill of the reporting unit is recognized. The key assumptions used in the discounted cash flow valuation model for impairment testing includes discount rates, revenue growth rates and EBITDA margins, cash flow projections and terminal value rates. Discount rates are set by using the weighted average cost of capital (“WACC”) methodology. The WACC methodology considers market and industry data in determining the appropriate discount rates to be used, inclusive of company-specific risk factors. The Company utilizes a third party valuation firm to assist in the determination of the WACC. The discount rate utilized for each reporting unit is indicative of the return an investor would expect to receive for investing in such a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considering industry and company-specific historical and projected data, develops growth rates, sales projections and cash flow projections for each reporting unit. Terminal value rate determination follows a common methodology of capturing the present value of perpetual cash flow estimates beyond the last projected period assuming a constant WACC and low long-term growth rates.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impairment test for indefinite-lived intangible assets consists of a comparison between the estimated fair values and carrying values. If the carrying amounts of intangible assets that have indefinite useful lives exceed their estimated fair values, an impairment loss will be recognized in an amount equal to the difference. Management utilizes the royalty savings valuation method to determine the estimated fair value for each indefinite-lived intangible asset. In this method, management estimates the royalty savings arising from the ownership of the intangible asset. The key assumptions used in estimating the royalty savings for impairment testing include discount rates, royalty rates, growth rates, sales projections and terminal value rates. Discount rates used are similar to the rates developed by the WACC methodology, inclusive of considering any differences in company-specific risk factors between reporting units and the indefinite-lived intangible assets. Royalty rates are established by management with the advice of valuation experts. Management, considering industry and company-specific historical and projected data, develops growth rates and sales projections for each significant intangible asset. Terminal value rate determination follows common methodology of capturing the present value of perpetual sales estimates beyond the last projected period assuming a constant WACC and low long-term growth rates.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discounted cash flow and royalty savings valuation methodologies require management to make certain assumptions based upon information available at the time the valuations are performed. Actual results could differ from these assumptions. Management believes the assumptions used are reflective of what a market participant would have used in calculating fair value considering the current economic conditions.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first day of the fourth quarter of fiscal 2025, the date of the annual impairment test, no indefinite-lived intangible assets or goodwill was determined to be impaired. As economic and market conditions have not changed significantly since the first day of the fourth quarter, this conclusion remains appropriate as of September 30, 2025.</w:t>
      </w:r>
    </w:p>
    <w:p>
      <w:pPr>
        <w:pStyle w:val="TextBody"/>
        <w:bidi w:val="0"/>
        <w:spacing w:lineRule="auto" w:line="288" w:before="120" w:after="283"/>
        <w:jc w:val="both"/>
        <w:rPr/>
      </w:pPr>
      <w:r>
        <w:rPr>
          <w:rFonts w:ascii="Times New Roman;serif" w:hAnsi="Times New Roman;serif"/>
          <w:b/>
          <w:i/>
          <w:color w:val="000000"/>
          <w:sz w:val="20"/>
        </w:rPr>
        <w:t xml:space="preserve">Income Taxes </w:t>
      </w:r>
      <w:r>
        <w:rPr>
          <w:color w:val="000000"/>
        </w:rPr>
        <w:t xml:space="preserve">– </w:t>
      </w:r>
      <w:r>
        <w:rPr>
          <w:rFonts w:ascii="Times New Roman;serif" w:hAnsi="Times New Roman;serif"/>
          <w:b w:val="false"/>
          <w:color w:val="000000"/>
          <w:sz w:val="20"/>
        </w:rPr>
        <w:t>The Company estimates income taxes in each jurisdiction in which it operates. This involves estimating taxable earnings, specific taxable and deductible items, the likelihood of generating sufficient future taxable income to utilize deferred tax assets and possible exposures related to future tax audits. To the extent these estimates change, adjustments to deferred and accrued income taxes are made in the period in which the changes occur. Historically, such adjustments have not been significant.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New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information about new accounting pronouncements, see Note 1, “Summary of Significant Accounting Policies,” in the notes to the consolidated financial statements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present below certain financial information based on our EBITDA and EBITDA As Defined. References to “EBITDA” mean earnings before interest, taxes, depreciation and amortization, and references to “EBITDA As Defined” mean EBITDA plus, as applicable for each relevant period, certain adjustments as set forth in the reconciliations of net income to EBITDA and EBITDA As Defined and the reconciliations of net cash provided by operating activities to EBITDA and EBITDA As Defined presented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Neither EBITDA nor EBITDA As Defined is a measurement of financial performance under U.S. GAAP. We present EBITDA and EBITDA As Defined because we believe they are useful indicators for evaluating operating performance and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believes that EBITDA and EBITDA As Defined are useful as indicators of liquidity because securities analysts, investors, rating agencies and others use EBITDA to evaluate a company’s ability to incur and service debt. In addition, EBITDA As Defined is useful to investors because the revolving credit facility under our senior secured credit facility requires compliance under certain circumstances, on a pro forma basis, with a financial covenant that measures the ratio of the amount of our secured indebtedness to the amount of our Consolidated EBITDA defined in the same manner as we define EBITDA As Defined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above, our management uses EBITDA As Defined to review and assess the performance of the management team in connection with employee incentive programs and to prepare its annual budget and financial projections. Moreover, our management uses EBITDA As Defined to evaluate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use EBITDA and EBITDA As Defined as measures to assess the performance of our business and for the other purposes set forth above, the use of these non-GAAP financial measures as analytical tools has limitations, and you should not consider any of them in isolation, or as a substitute for analysis of our results of operations as reported in accordance with U.S. GAAP. Some of these limitations 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reflects the significant interest expense, or the cash requirements, necessary to service interest payments on our indebtedness;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neither EBITDA nor EBITDA As Defined reflects any cash requirements for such replacements;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omission of the substantial amortization expense associated with our intangible assets further limits the usefulness of EBITDA and EBITDA As Defined;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neither EBITDA nor EBITDA As Defined includes the payment of taxes, which is a necessary element of our operations;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EBITDA As Defined excludes the cash expense we have incurred to integrate acquired businesses into our operations, which is a necessary element of certain of our acquisitions.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EBITDA and EBITDA As Defined should not be considered as measures of discretionary cash available to us to invest in the growth of our business. Management compensates for these limitations by not viewing EBITDA or EBITDA As Defined in isolation and specifically by using other U.S. GAAP measures, such as net income, net sales and operating profit, to measure our operating performance. Neither EBITDA nor EBITDA As Defined is a measurement of financial performance under U.S. GAAP, and neither should be considered as an alternative to net income or cash flow from operations determined in accordance with U.S. GAAP. Our calculation of EBITDA and EBITDA As Defined may not be comparable to the calculation of similarly titled measures reported by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income to EBITDA and EBITDA As Defined (in millions):</w:t>
      </w:r>
    </w:p>
    <w:tbl>
      <w:tblPr>
        <w:tblW w:w="7525" w:type="dxa"/>
        <w:jc w:val="left"/>
        <w:tblInd w:w="0" w:type="dxa"/>
        <w:tblLayout w:type="fixed"/>
        <w:tblCellMar>
          <w:top w:w="28" w:type="dxa"/>
          <w:left w:w="28" w:type="dxa"/>
          <w:bottom w:w="28" w:type="dxa"/>
          <w:right w:w="28" w:type="dxa"/>
        </w:tblCellMar>
      </w:tblPr>
      <w:tblGrid>
        <w:gridCol w:w="1779"/>
        <w:gridCol w:w="1562"/>
        <w:gridCol w:w="1579"/>
        <w:gridCol w:w="245"/>
        <w:gridCol w:w="716"/>
        <w:gridCol w:w="126"/>
        <w:gridCol w:w="126"/>
        <w:gridCol w:w="126"/>
        <w:gridCol w:w="126"/>
        <w:gridCol w:w="245"/>
        <w:gridCol w:w="716"/>
        <w:gridCol w:w="179"/>
      </w:tblGrid>
      <w:tr>
        <w:trPr/>
        <w:tc>
          <w:tcPr>
            <w:tcW w:w="177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7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Refinancing costs </w:t>
            </w:r>
            <w:r>
              <w:rPr>
                <w:rFonts w:ascii="Times New Roman;serif" w:hAnsi="Times New Roman;serif"/>
                <w:b w:val="false"/>
                <w:color w:val="000000"/>
                <w:sz w:val="13"/>
              </w:rPr>
              <w:t>(3)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As Defined</w:t>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expensed related to debt financing activities, including new issuances, extinguishments, refinancings and amendments to existing agreements.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cash provided by operating activities to EBITDA and EBITDA As Defined (in millions):</w:t>
      </w:r>
    </w:p>
    <w:tbl>
      <w:tblPr>
        <w:tblW w:w="9810" w:type="dxa"/>
        <w:jc w:val="left"/>
        <w:tblInd w:w="0" w:type="dxa"/>
        <w:tblLayout w:type="fixed"/>
        <w:tblCellMar>
          <w:top w:w="28" w:type="dxa"/>
          <w:left w:w="28" w:type="dxa"/>
          <w:bottom w:w="28" w:type="dxa"/>
          <w:right w:w="28" w:type="dxa"/>
        </w:tblCellMar>
      </w:tblPr>
      <w:tblGrid>
        <w:gridCol w:w="2600"/>
        <w:gridCol w:w="2289"/>
        <w:gridCol w:w="2295"/>
        <w:gridCol w:w="211"/>
        <w:gridCol w:w="616"/>
        <w:gridCol w:w="109"/>
        <w:gridCol w:w="109"/>
        <w:gridCol w:w="109"/>
        <w:gridCol w:w="109"/>
        <w:gridCol w:w="211"/>
        <w:gridCol w:w="616"/>
        <w:gridCol w:w="536"/>
      </w:tblGrid>
      <w:tr>
        <w:trPr/>
        <w:tc>
          <w:tcPr>
            <w:tcW w:w="2600"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5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 net of effects from acquisitions and sales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Interest expense-net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36" w:type="dxa"/>
            <w:tcBorders/>
            <w:shd w:fill="CCEE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inventory step-up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contract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Refinancing costs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536" w:type="dxa"/>
            <w:tcBorders/>
            <w:shd w:fill="FFFFFF" w:val="clear"/>
            <w:tcMar>
              <w:top w:w="0" w:type="dxa"/>
              <w:left w:w="0" w:type="dxa"/>
              <w:bottom w:w="0" w:type="dxa"/>
              <w:right w:w="0" w:type="dxa"/>
            </w:tcMar>
            <w:vAlign w:val="center"/>
          </w:tcPr>
          <w:p>
            <w:pPr>
              <w:pStyle w:val="TableContents"/>
              <w:bidi w:val="0"/>
              <w:spacing w:before="0" w:after="283"/>
              <w:ind w:left="0" w:right="0" w:firstLine="405"/>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53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transaction and integration-related expenses </w:t>
            </w:r>
            <w:r>
              <w:rPr>
                <w:rFonts w:ascii="Times New Roman;serif" w:hAnsi="Times New Roman;serif"/>
                <w:b w:val="false"/>
                <w:color w:val="000000"/>
                <w:sz w:val="13"/>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Non-cash stock and deferred compensation expense </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Refinancing costs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erif" w:hAnsi="Times New Roman;serif"/>
                <w:b w:val="false"/>
                <w:color w:val="000000"/>
                <w:sz w:val="20"/>
              </w:rPr>
              <w:t xml:space="preserve">Other, net </w:t>
            </w:r>
            <w:r>
              <w:rPr>
                <w:rFonts w:ascii="Times New Roman;serif" w:hAnsi="Times New Roman;serif"/>
                <w:b w:val="false"/>
                <w:color w:val="000000"/>
                <w:sz w:val="13"/>
              </w:rPr>
              <w:t>(5)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 As Defined</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5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047"/>
        <w:gridCol w:w="2683"/>
        <w:gridCol w:w="3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interest expense, net of interest income, excluding the amortization of debt issuance costs and discount on debt.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expensed related to debt financing activities, including new issuances, extinguishments, refinancings and amendments to existing agreements.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the compensation expense recognized under our stock option plans and deferred compensation plans.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40" w:after="283"/>
              <w:jc w:val="both"/>
              <w:rPr>
                <w:rFonts w:ascii="Times New Roman;serif" w:hAnsi="Times New Roman;serif"/>
                <w:b w:val="false"/>
                <w:color w:val="000000"/>
                <w:sz w:val="20"/>
              </w:rPr>
            </w:pPr>
            <w:r>
              <w:rPr>
                <w:rFonts w:ascii="Times New Roman;serif" w:hAnsi="Times New Roman;serif"/>
                <w:b w:val="false"/>
                <w:color w:val="000000"/>
                <w:sz w:val="20"/>
              </w:rPr>
              <w:t>Represents costs incurred to integrate acquired businesses into our operations; facility relocation costs and other acquisition-related costs; transaction and valuation-related costs for acquisitions comprising deal fees, legal, financial and tax due diligence expenses; and amortization expense of inventory step-up recorded in connection with the purchase accounting of acquired businesses.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Primarily represents foreign currency transaction gains or losses, payroll withholding taxes related to dividend equivalent payments and stock option exercises, non-service related pension costs, deferred compensation payments and other miscellaneous income or expense, such as gain on sale of 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we had borrowings under our Term Loans Facility, which consists of four tranches of term loans of approximately $11,124 million, as well as $725 million from the Securitization Facility, that are subject to interest rate risk, particularly movements in Term SOFR. Borrowings under our term loans bear interest, at our option, at a rate equal to either an alternate base rate or an adjusted Term SOFR for a one-, three- or six-month thereafter (in each case, subject to the availability thereof), interest period chosen by us, in each case, plus an applicable margin percentage. Our Securitization Facility bears interest at a rate of three-month Term SOFR plus 1.35%. Accordingly, the Company’s cash flows and earnings will be exposed to the market risk of interest rate changes resulting from variable rate borrowings under our term loans. The Company's objective is to maintain an allocation of at least 75% fixed rate and 25% variable rate debt thereby limiting its exposure to changes in near-term interest rates. Interest rate swaps, caps and collars used to hedge and offset, respectively, the variable interest rates on the credit facility are described in Note 18, “Derivatives and Hedging Activities,” in the notes to the consolidated financial statements included herein. We do not hold or issue derivative instruments for speculative purposes. As of September 30, 2025, approximately 75% of our gross debt was fixed rate. The effect of a hypothetical one percentage point increase in interest rates would increase the annual interest costs under our Term Loans Facility and Securitization Facility by approximately $57 million based on the amount of outstanding borrowings at September 30, 2025. The weighted average interest rate on the $11,124 million of the term loans and the $725 million drawn on the Securitization Facility at September 30, 2025 was approximately 6.3%.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about the fair value of the aggregate principal amount of borrowings under our term loans and the fair value of the senior secured and subordinated notes, refer to Note 11, “Fair Value Measurements,” in the notes to the consolidated financial statements included herein.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foreign subsidiaries’ sales and results of operations are subject to the impact of foreign currency fluctuations, primarily the British pound and the euro. Because our consolidated financial statements are presented in U.S. dollars, increases or decreases in the value of the U.S. dollar relative to other currencies in which we transact business could materially adversely affect our net sales, net income and the carrying values of our assets located outside the U.S.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The foreign currency forward exchange contracts entered into by the Company are described in Note 18, “Derivatives and Hedging Activities,” in the notes to the consolidated financial statements included herein. A 10% change in foreign currency exchange rates would not have resulted in a material impact to net income for the fiscal year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jc w:val="both"/>
        <w:rPr/>
      </w:pPr>
      <w:r>
        <w:rPr>
          <w:rFonts w:ascii="Times New Roman;serif" w:hAnsi="Times New Roman;serif"/>
          <w:b w:val="false"/>
          <w:color w:val="000000"/>
          <w:sz w:val="20"/>
        </w:rPr>
        <w:t xml:space="preserve">The information required by this Item is contained on pages </w:t>
      </w:r>
      <w:hyperlink w:anchor="i348eacf94acd4c1ca064b10a69770101_127">
        <w:r>
          <w:rPr>
            <w:rStyle w:val="InternetLink"/>
            <w:rFonts w:ascii="Times New Roman;serif" w:hAnsi="Times New Roman;serif"/>
            <w:b w:val="false"/>
            <w:color w:val="000080"/>
            <w:sz w:val="20"/>
            <w:u w:val="single"/>
          </w:rPr>
          <w:t>F-</w:t>
        </w:r>
      </w:hyperlink>
      <w:hyperlink w:anchor="i348eacf94acd4c1ca064b10a69770101_127">
        <w:r>
          <w:rPr>
            <w:rStyle w:val="InternetLink"/>
            <w:rFonts w:ascii="Times New Roman;serif" w:hAnsi="Times New Roman;serif"/>
            <w:b w:val="false"/>
            <w:color w:val="000080"/>
            <w:sz w:val="20"/>
            <w:u w:val="single"/>
          </w:rPr>
          <w:t>1</w:t>
        </w:r>
      </w:hyperlink>
      <w:r>
        <w:rPr>
          <w:color w:val="000000"/>
        </w:rPr>
        <w:t xml:space="preserve"> </w:t>
      </w:r>
      <w:r>
        <w:rPr>
          <w:rFonts w:ascii="Times New Roman;serif" w:hAnsi="Times New Roman;serif"/>
          <w:b w:val="false"/>
          <w:color w:val="000000"/>
          <w:sz w:val="20"/>
        </w:rPr>
        <w:t xml:space="preserve">through </w:t>
      </w:r>
      <w:hyperlink w:anchor="i348eacf94acd4c1ca064b10a69770101_232">
        <w:r>
          <w:rPr>
            <w:rStyle w:val="InternetLink"/>
            <w:rFonts w:ascii="Times New Roman;serif" w:hAnsi="Times New Roman;serif"/>
            <w:b w:val="false"/>
            <w:color w:val="0000FF"/>
            <w:sz w:val="20"/>
            <w:u w:val="single"/>
          </w:rPr>
          <w:t>F-</w:t>
        </w:r>
      </w:hyperlink>
      <w:hyperlink w:anchor="i348eacf94acd4c1ca064b10a69770101_232">
        <w:r>
          <w:rPr>
            <w:rStyle w:val="InternetLink"/>
            <w:rFonts w:ascii="Times New Roman;serif" w:hAnsi="Times New Roman;serif"/>
            <w:b w:val="false"/>
            <w:color w:val="0019FF"/>
            <w:sz w:val="20"/>
            <w:u w:val="single"/>
          </w:rPr>
          <w:t>39</w:t>
        </w:r>
      </w:hyperlink>
      <w:r>
        <w:rPr>
          <w:color w:val="000000"/>
        </w:rPr>
        <w:t xml:space="preserve"> </w:t>
      </w:r>
      <w:r>
        <w:rPr>
          <w:rFonts w:ascii="Times New Roman;serif" w:hAnsi="Times New Roman;serif"/>
          <w:b w:val="false"/>
          <w:color w:val="000000"/>
          <w:sz w:val="20"/>
        </w:rPr>
        <w:t>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TD Group carried out an evaluation, under the supervision and with the participation of TD Group’s management, including its President and Chief Executive Officer (Principal Executive Officer) and Chief Financial Officer (Principal Financial Officer), of the effectiveness of the design and operation of TD Group’s disclosure controls and procedures. Based upon that evaluation, the President and Chief Executive Officer and Chief Financial Officer concluded that TD Group’s disclosure controls and procedures are effective to ensure that information required to be disclosed by TD Group in the reports it files or submits under the Exchange Act is recorded, processed, summarized and reported, within the time periods specified by the Securities and Exchange Commission’s rules and forms, and that such information is accumulated and communicated to TD Group’s management, including its President and Chief Executive Officer and Chief Financial Officer, as appropriate, to allow timely decisions regarding required disclosure. In designing and evaluating the disclosure controls and procedures, TD Group’s management recognized that any controls and procedures, no matter how well designed and operated, can provide only reasonable assurance of achieving the desired control objectives, and management necessarily was required to apply its judgment in designing and evaluating the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management of TD Group is responsible for establishing and maintaining adequate internal control over financial reporting as defined in Exchange Act Rule 13a-15(f). Using criteria set forth by the Committee of Sponsoring Organizations of the Treadway Commission (2013 framework) (“COSO”) in Internal Control-Integrated Framework, TransDigm’s management assessed the effectiveness of the Company’s internal control over financial reporting as of September 30, 2025. Based on our assessment, management concluded that the Company’s internal control over financial reporting was effective as of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September 30, 2025 has been audited by Ernst &amp; Young LLP, an independent registered public accounting firm, as stated in their report, which is included elsewhere in this Annual Report on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that occurred during the fourth quarter of fiscal 2025 that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2"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TransDigm Group Incorporated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We have audited TransDigm Group Incorporated’s internal control over financial reporting as of September 30, 2025, based on criteria established in Internal Control—Integrated Framework issued by the Committee of Sponsoring Organizations of the Treadway Commission (2013 framework)</w:t>
      </w:r>
      <w:r>
        <w:rPr>
          <w:color w:val="000000"/>
        </w:rPr>
        <w:t xml:space="preserve"> </w:t>
      </w:r>
      <w:r>
        <w:rPr>
          <w:rFonts w:ascii="Times New Roman;serif" w:hAnsi="Times New Roman;serif"/>
          <w:b w:val="false"/>
          <w:color w:val="000000"/>
          <w:sz w:val="20"/>
        </w:rPr>
        <w:t>(the “COSO criteria”). In our opinion, TransDigm Group Incorporated (the “Company”) maintained, in all material respects, effective internal control over financial reporting as of September 30, 2025, based on the COSO criteria.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in accordance with the standards of the Public Company Accounting Oversight Board (United States) (“PCAOB”), the consolidated balance sheets of the Company as of September 30, 2025 and 2024, the related consolidated statements of income, comprehensive income, changes in stockholders’ deficit and cash flows for each of the three fiscal years in the period ended September 30, 2025, and the related notes and financial statement schedule listed in the Index at Item 15(a) and our report dated November 12, 2025 expressed an unqualified opinion thereon.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 w:after="283"/>
        <w:ind w:left="0" w:right="0" w:firstLine="180"/>
        <w:jc w:val="both"/>
        <w:rPr/>
      </w:pPr>
      <w:r>
        <w:rPr/>
      </w:r>
    </w:p>
    <w:p>
      <w:pPr>
        <w:pStyle w:val="TextBody"/>
        <w:bidi w:val="0"/>
        <w:spacing w:lineRule="auto" w:line="288" w:before="2" w:after="283"/>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2" w:after="283"/>
        <w:jc w:val="both"/>
        <w:rPr/>
      </w:pPr>
      <w:r>
        <w:rPr/>
      </w:r>
    </w:p>
    <w:p>
      <w:pPr>
        <w:pStyle w:val="TextBody"/>
        <w:bidi w:val="0"/>
        <w:spacing w:lineRule="auto" w:line="288" w:before="2" w:after="283"/>
        <w:jc w:val="both"/>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November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12, 2025, Joel Reiss, the Company’s Co-Chief Operating Officer, entered into a new “Rule 10b5-1 trading arrangement” (as defined in Item 408 of Regulation S-K) for the sale of 65,600 shares of common stock issuable upon the exercise of vested options intended to satisfy the affirmative defense conditions of Rule 10b5-1(c) under the Exchange Act, which Rule 10b5-1 trading arrangement is scheduled to begin on November 17, 2025 and terminate no later than October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Directors and Executive Officers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TD Group’s directors will be set forth under the caption “Proposal No. 1 - Election of Directors” in our Proxy Statement, which is incorporated herein by reference. The following table sets forth certain information concerning TD Group’s executive officers as of October 2025:</w:t>
      </w:r>
    </w:p>
    <w:tbl>
      <w:tblPr>
        <w:tblW w:w="7300" w:type="dxa"/>
        <w:jc w:val="left"/>
        <w:tblInd w:w="0" w:type="dxa"/>
        <w:tblLayout w:type="fixed"/>
        <w:tblCellMar>
          <w:top w:w="28" w:type="dxa"/>
          <w:left w:w="28" w:type="dxa"/>
          <w:bottom w:w="28" w:type="dxa"/>
          <w:right w:w="28" w:type="dxa"/>
        </w:tblCellMar>
      </w:tblPr>
      <w:tblGrid>
        <w:gridCol w:w="521"/>
        <w:gridCol w:w="458"/>
        <w:gridCol w:w="461"/>
        <w:gridCol w:w="109"/>
        <w:gridCol w:w="109"/>
        <w:gridCol w:w="109"/>
        <w:gridCol w:w="130"/>
        <w:gridCol w:w="130"/>
        <w:gridCol w:w="131"/>
        <w:gridCol w:w="109"/>
        <w:gridCol w:w="109"/>
        <w:gridCol w:w="109"/>
        <w:gridCol w:w="1406"/>
        <w:gridCol w:w="1406"/>
        <w:gridCol w:w="2003"/>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Position</w:t>
            </w:r>
          </w:p>
        </w:tc>
      </w:tr>
      <w:tr>
        <w:trPr/>
        <w:tc>
          <w:tcPr>
            <w:tcW w:w="14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Lisman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Murphy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Operating Officer</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Joel Reiss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Operating Officer</w:t>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Wynne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Armani Vadiee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Chief Compliance Officer and Secretary</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Lisman was appointed President and Chief Executive Officer in October 2025. Prior to that, Mr. Lisman served as Co-Chief Operating Officer from May 2023 to September 2025, Chief Financial Officer from July 2018 to May 2023 and Executive Vice President from January 2022 to May 2023. Mr. Lisman also served as Vice President—Mergers and Acquisitions from January 2018 to June 2018, Business Unit Manager for the Air &amp; Fuel Valves business unit at Aero Fluid Products, a wholly-owned subsidiary of TransDigm Inc., from January 2017 to January 2018 and Director of Mergers and Acquisitions of TransDigm from November 2015 to January 2017.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Mr. Murphy was appointed Co-Chief Operating Officer in August 2025. He previously served as Executive Vice President from October 2019 to August 2025 and as President of HarcoSemco from December 2014 to September 2019. Prior to joining TransDigm, Mr. Murphy was Vice President and General Manager for two Danaher Corporation businesses and held several other senior leadership roles in the industrial manufacturing and high-technology industries.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Reiss was appointed Co-Chief Operating Officer in May 2023. Prior to that, Mr. Reiss served as Executive Vice President from October 2015 to May 2023. Mr. Reiss also served as President of Hartwell Corporation, a wholly-owned subsidiary of TransDigm Inc., from July 2012 to October 2015; President of Skurka Aerospace, a wholly-owned subsidiary of TransDigm Inc., from July 2010 to July 2012; and Director of Operations of Adams Rite Aerospace, a wholly-owned subsidiary of TransDigm Inc., from July 2000 to July 2010.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Ms. Wynne was appointed Chief Financial Officer in May 2023. Prior to that, Ms. Wynne served as Chief Accounting Officer from November 2018 to May 2023. Ms. Wynne also served as Group Controller from April 2015 to October 2018, as Controller of the Aero Fluid Products division of AeroControlex Group, Inc., a wholly-owned subsidiary of TransDigm Inc., from October 2009 to March 2015, and previously in other accounting roles within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Vadiee was appointed General Counsel, Chief Compliance Officer, and Secretary in July 2025. Prior to this role, he served as TransDigm’s Vice President of Global Public Sector. Before joining TransDigm, Mr. Vadiee was a partner at a Washington D.C. based law firm where he served as outside counsel to TransDigm for over ten years, developing a deep understanding of the Company’s operations and regulatory environment.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88" w:before="100" w:after="283"/>
        <w:jc w:val="both"/>
        <w:rPr/>
      </w:pPr>
      <w:r>
        <w:rPr>
          <w:rFonts w:ascii="Times New Roman;serif" w:hAnsi="Times New Roman;serif"/>
          <w:b w:val="false"/>
          <w:color w:val="000000"/>
          <w:sz w:val="20"/>
        </w:rPr>
        <w:t xml:space="preserve">We have adopted a Code of Business Conduct and Ethics, which applies to all of our directors, officers, and employees and a Code of Ethics for Senior Financial Officers which includes additional ethical obligations for our senior financial management (which includes our president and chief executive officer, co-chief operating officers, chief financial officer, corporate controller, treasurer, vice president of finance, director of audit, group controllers, general counsel, operating unit presidents and operating unit vice presidents of finance). Please refer to the information set forth in our Proxy Statement, which is incorporated herein by reference. Our Code of Business Conduct and Ethics and our Code of Ethics for Senior Financial Officers is available on our website at </w:t>
      </w:r>
      <w:r>
        <w:rPr>
          <w:rFonts w:ascii="Times New Roman;serif" w:hAnsi="Times New Roman;serif"/>
          <w:b w:val="false"/>
          <w:i/>
          <w:color w:val="000000"/>
          <w:sz w:val="20"/>
        </w:rPr>
        <w:t>www.transdigm.com</w:t>
      </w:r>
      <w:r>
        <w:rPr>
          <w:rFonts w:ascii="Times New Roman;serif" w:hAnsi="Times New Roman;serif"/>
          <w:b w:val="false"/>
          <w:color w:val="000000"/>
          <w:sz w:val="20"/>
        </w:rPr>
        <w:t>. Any person may receive a copy without charge by writing to us at TransDigm Group Incorporated, 1350 Euclid Avenue, Suite 1600, Cleveland, Ohio 44115. We intend to disclose on our website any amendment to, or waiver from, a provision of our Code of Business Conduct and Ethics that applies to directors and executive officers and that is required to be disclosed pursuant to the rules of the Securities and Exchange Commission.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Nominations of Directors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procedure by which stockholders may recommend nominees to our Board of Directors will be set forth under the caption “Shareholder Proposals for the 2026 Annual Meeting” in our Proxy Statement, which is incorporated herein by reference.</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regarding the audit committee of our Board of Directors and audit committee financial experts will be set forth under the caption “Corporate Governance” in our Proxy Statement,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“Executive Compensation” and “Director Compensation” in our Proxy Statement,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12.    SECURITY OWNERSHIP OF BENEFICIAL OWNERS AND MANAGEMENT AND RELATED STOCKHOLDER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regarding security ownership of certain beneficial owners and management will be set forth under the captions “Beneficial Ownership of Equity Securities of TransDigm” and “Security Ownership of Certain Beneficial Owners” in our Proxy Statement, which is incorporated herein by reference.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Equity Compensation Plan Information</w:t>
      </w:r>
    </w:p>
    <w:tbl>
      <w:tblPr>
        <w:tblW w:w="10205" w:type="dxa"/>
        <w:jc w:val="left"/>
        <w:tblInd w:w="0" w:type="dxa"/>
        <w:tblLayout w:type="fixed"/>
        <w:tblCellMar>
          <w:top w:w="28" w:type="dxa"/>
          <w:left w:w="28" w:type="dxa"/>
          <w:bottom w:w="28" w:type="dxa"/>
          <w:right w:w="28" w:type="dxa"/>
        </w:tblCellMar>
      </w:tblPr>
      <w:tblGrid>
        <w:gridCol w:w="601"/>
        <w:gridCol w:w="528"/>
        <w:gridCol w:w="532"/>
        <w:gridCol w:w="109"/>
        <w:gridCol w:w="109"/>
        <w:gridCol w:w="109"/>
        <w:gridCol w:w="746"/>
        <w:gridCol w:w="746"/>
        <w:gridCol w:w="748"/>
        <w:gridCol w:w="109"/>
        <w:gridCol w:w="109"/>
        <w:gridCol w:w="109"/>
        <w:gridCol w:w="430"/>
        <w:gridCol w:w="1473"/>
        <w:gridCol w:w="224"/>
        <w:gridCol w:w="109"/>
        <w:gridCol w:w="109"/>
        <w:gridCol w:w="109"/>
        <w:gridCol w:w="939"/>
        <w:gridCol w:w="939"/>
        <w:gridCol w:w="940"/>
        <w:gridCol w:w="109"/>
        <w:gridCol w:w="109"/>
        <w:gridCol w:w="160"/>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w:t>
              <w:br/>
              <w:t>(c)</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compensation plans approved by security holders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3,991,984 </w:t>
            </w:r>
          </w:p>
        </w:tc>
        <w:tc>
          <w:tcPr>
            <w:tcW w:w="7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588.74 </w:t>
            </w:r>
          </w:p>
        </w:tc>
        <w:tc>
          <w:tcPr>
            <w:tcW w:w="22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3,210,451 </w:t>
            </w:r>
          </w:p>
        </w:tc>
        <w:tc>
          <w:tcPr>
            <w:tcW w:w="94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32"/>
        <w:jc w:val="both"/>
        <w:rPr/>
      </w:pPr>
      <w:r>
        <w:rPr>
          <w:rFonts w:ascii="Times New Roman;serif" w:hAnsi="Times New Roman;serif"/>
          <w:b w:val="false"/>
          <w:color w:val="000000"/>
          <w:sz w:val="13"/>
        </w:rPr>
        <w:t>(1)</w:t>
      </w:r>
      <w:r>
        <w:rPr>
          <w:rFonts w:ascii="Times New Roman;serif" w:hAnsi="Times New Roman;serif"/>
          <w:b w:val="false"/>
          <w:color w:val="000000"/>
          <w:sz w:val="20"/>
        </w:rPr>
        <w:t>Includes information related to the 2006 stock incentive plan, the 2014 stock option plan and the 2019 stock option plan.</w:t>
      </w:r>
    </w:p>
    <w:p>
      <w:pPr>
        <w:pStyle w:val="TextBody"/>
        <w:bidi w:val="0"/>
        <w:spacing w:lineRule="auto" w:line="288" w:before="60" w:after="283"/>
        <w:ind w:left="0" w:right="0" w:hanging="432"/>
        <w:jc w:val="both"/>
        <w:rPr/>
      </w:pPr>
      <w:r>
        <w:rPr>
          <w:rFonts w:ascii="Times New Roman;serif" w:hAnsi="Times New Roman;serif"/>
          <w:b w:val="false"/>
          <w:color w:val="000000"/>
          <w:sz w:val="13"/>
        </w:rPr>
        <w:t>(2)</w:t>
      </w:r>
      <w:r>
        <w:rPr>
          <w:rFonts w:ascii="Times New Roman;serif" w:hAnsi="Times New Roman;serif"/>
          <w:b w:val="false"/>
          <w:color w:val="000000"/>
          <w:sz w:val="20"/>
        </w:rPr>
        <w:t>This amount represents 1,450, 3,230,926 and 759,608 shares subject to outstanding stock options under our 2006 stock incentive plan, 2014 stock option plan and 2019 stock option plan, respectively. No further grants may be made under our 2006 stock incentive plan and 2014 stock option plan, although outstanding stock options continue in force in accordance with their terms.</w:t>
      </w:r>
    </w:p>
    <w:p>
      <w:pPr>
        <w:pStyle w:val="TextBody"/>
        <w:bidi w:val="0"/>
        <w:spacing w:lineRule="auto" w:line="288" w:before="60" w:after="283"/>
        <w:ind w:left="0" w:right="0" w:hanging="432"/>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This amount represents remaining shares available for award under our 2019 stock option plan. In August 2019, the 2019 stock option plan was adopted by the Board of Directors of TD Group and was subsequently approved by stockholders on October 3, 2019. The 2019 stock option plan permits TD Group to award stock options to our key employees, directors or consultants. The total number shares of TD Group common stock reserved for issuance or delivery under the 2019 stock option plan is 4,000,000, subject to adjustment in the event of any stock dividend or split, reorganization, recapitalization, merger, share exchange or any other similar corporate transaction or event.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entitled “Corporate Governance” and “Director Compensation” in our Proxy Statement,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 “Proposal No. 2 - Ratification of Appointment of Independent Registered Public Accounting Firm,” in our Proxy Statement,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EXHIBITS AND FINANCIAL STATEMENT SCHEDULES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 Documents Filed with Report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 (1) Financial Statements</w:t>
      </w:r>
    </w:p>
    <w:tbl>
      <w:tblPr>
        <w:tblW w:w="10205" w:type="dxa"/>
        <w:jc w:val="left"/>
        <w:tblInd w:w="0" w:type="dxa"/>
        <w:tblLayout w:type="fixed"/>
        <w:tblCellMar>
          <w:top w:w="28" w:type="dxa"/>
          <w:left w:w="28" w:type="dxa"/>
          <w:bottom w:w="28" w:type="dxa"/>
          <w:right w:w="28" w:type="dxa"/>
        </w:tblCellMar>
      </w:tblPr>
      <w:tblGrid>
        <w:gridCol w:w="3341"/>
        <w:gridCol w:w="2916"/>
        <w:gridCol w:w="2931"/>
        <w:gridCol w:w="296"/>
        <w:gridCol w:w="296"/>
        <w:gridCol w:w="425"/>
      </w:tblGrid>
      <w:tr>
        <w:trPr/>
        <w:tc>
          <w:tcPr>
            <w:tcW w:w="334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9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(Ernst &amp; Young LLP, PCAOB ID: 42)</w:t>
            </w:r>
          </w:p>
        </w:tc>
        <w:tc>
          <w:tcPr>
            <w:tcW w:w="10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27">
              <w:r>
                <w:rPr>
                  <w:rStyle w:val="InternetLink"/>
                  <w:rFonts w:ascii="Times New Roman;serif" w:hAnsi="Times New Roman;serif"/>
                  <w:b w:val="false"/>
                  <w:color w:val="000080"/>
                  <w:sz w:val="20"/>
                  <w:u w:val="single"/>
                </w:rPr>
                <w:t>1</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September 30, 2025 and 2024</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0">
              <w:r>
                <w:rPr>
                  <w:rStyle w:val="InternetLink"/>
                  <w:rFonts w:ascii="Times New Roman;serif" w:hAnsi="Times New Roman;serif"/>
                  <w:b w:val="false"/>
                  <w:color w:val="000080"/>
                  <w:sz w:val="20"/>
                  <w:u w:val="single"/>
                </w:rPr>
                <w:t>3</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for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6">
              <w:r>
                <w:rPr>
                  <w:rStyle w:val="InternetLink"/>
                  <w:rFonts w:ascii="Times New Roman;serif" w:hAnsi="Times New Roman;serif"/>
                  <w:b w:val="false"/>
                  <w:color w:val="000080"/>
                  <w:sz w:val="20"/>
                  <w:u w:val="single"/>
                </w:rPr>
                <w:t>4</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9">
              <w:r>
                <w:rPr>
                  <w:rStyle w:val="InternetLink"/>
                  <w:rFonts w:ascii="Times New Roman;serif" w:hAnsi="Times New Roman;serif"/>
                  <w:b w:val="false"/>
                  <w:color w:val="000080"/>
                  <w:sz w:val="20"/>
                  <w:u w:val="single"/>
                </w:rPr>
                <w:t>5</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Consolidated Statements of Changes in Stockholders’ Deficit for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42">
              <w:r>
                <w:rPr>
                  <w:rStyle w:val="InternetLink"/>
                  <w:rFonts w:ascii="Times New Roman;serif" w:hAnsi="Times New Roman;serif"/>
                  <w:b w:val="false"/>
                  <w:color w:val="000080"/>
                  <w:sz w:val="20"/>
                  <w:u w:val="single"/>
                </w:rPr>
                <w:t>6</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45">
              <w:r>
                <w:rPr>
                  <w:rStyle w:val="InternetLink"/>
                  <w:rFonts w:ascii="Times New Roman;serif" w:hAnsi="Times New Roman;serif"/>
                  <w:b w:val="false"/>
                  <w:color w:val="000080"/>
                  <w:sz w:val="20"/>
                  <w:u w:val="single"/>
                </w:rPr>
                <w:t>7</w:t>
              </w:r>
            </w:hyperlink>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for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48">
              <w:r>
                <w:rPr>
                  <w:rStyle w:val="InternetLink"/>
                  <w:rFonts w:ascii="Times New Roman;serif" w:hAnsi="Times New Roman;serif"/>
                  <w:b w:val="false"/>
                  <w:color w:val="000080"/>
                  <w:sz w:val="20"/>
                  <w:u w:val="single"/>
                </w:rPr>
                <w:t>F-</w:t>
              </w:r>
            </w:hyperlink>
            <w:hyperlink w:anchor="i348eacf94acd4c1ca064b10a69770101_148">
              <w:r>
                <w:rPr>
                  <w:rStyle w:val="InternetLink"/>
                  <w:rFonts w:ascii="Times New Roman;serif" w:hAnsi="Times New Roman;serif"/>
                  <w:b w:val="false"/>
                  <w:color w:val="000080"/>
                  <w:sz w:val="20"/>
                  <w:u w:val="single"/>
                </w:rPr>
                <w:t>8</w:t>
              </w:r>
            </w:hyperlink>
            <w:r>
              <w:rPr>
                <w:color w:val="000000"/>
              </w:rPr>
              <w:t xml:space="preserve"> </w:t>
            </w:r>
            <w:r>
              <w:rPr>
                <w:rFonts w:ascii="Times New Roman;serif" w:hAnsi="Times New Roman;serif"/>
                <w:b w:val="false"/>
                <w:color w:val="000000"/>
                <w:sz w:val="20"/>
              </w:rPr>
              <w:t xml:space="preserve">to </w:t>
            </w:r>
            <w:hyperlink w:anchor="i348eacf94acd4c1ca064b10a69770101_226">
              <w:r>
                <w:rPr>
                  <w:rStyle w:val="InternetLink"/>
                  <w:rFonts w:ascii="Times New Roman;serif" w:hAnsi="Times New Roman;serif"/>
                  <w:b w:val="false"/>
                  <w:color w:val="000080"/>
                  <w:sz w:val="20"/>
                  <w:u w:val="single"/>
                </w:rPr>
                <w:t>F-</w:t>
              </w:r>
            </w:hyperlink>
            <w:hyperlink w:anchor="i348eacf94acd4c1ca064b10a69770101_226">
              <w:r>
                <w:rPr>
                  <w:rStyle w:val="InternetLink"/>
                  <w:rFonts w:ascii="Times New Roman;serif" w:hAnsi="Times New Roman;serif"/>
                  <w:b w:val="false"/>
                  <w:color w:val="000080"/>
                  <w:sz w:val="20"/>
                  <w:u w:val="single"/>
                </w:rPr>
                <w:t>38</w:t>
              </w:r>
            </w:hyperlink>
          </w:p>
        </w:tc>
      </w:tr>
      <w:tr>
        <w:trPr/>
        <w:tc>
          <w:tcPr>
            <w:tcW w:w="9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 (2) Financial Statement Schedules</w:t>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and Qualifying Accounts for the Fiscal Years Ended September 30, 2025, 2024 and 2023</w:t>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232">
              <w:r>
                <w:rPr>
                  <w:rStyle w:val="InternetLink"/>
                  <w:rFonts w:ascii="Times New Roman;serif" w:hAnsi="Times New Roman;serif"/>
                  <w:b w:val="false"/>
                  <w:color w:val="0000FF"/>
                  <w:sz w:val="20"/>
                  <w:u w:val="single"/>
                </w:rPr>
                <w:t>F-</w:t>
              </w:r>
            </w:hyperlink>
            <w:hyperlink w:anchor="i348eacf94acd4c1ca064b10a69770101_232">
              <w:r>
                <w:rPr>
                  <w:rStyle w:val="InternetLink"/>
                  <w:rFonts w:ascii="Times New Roman;serif" w:hAnsi="Times New Roman;serif"/>
                  <w:b w:val="false"/>
                  <w:color w:val="0019FF"/>
                  <w:sz w:val="20"/>
                  <w:u w:val="single"/>
                </w:rPr>
                <w:t>39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left"/>
        <w:rPr>
          <w:rFonts w:ascii="Times New Roman;serif" w:hAnsi="Times New Roman;serif"/>
          <w:b/>
          <w:color w:val="000000"/>
          <w:sz w:val="20"/>
        </w:rPr>
      </w:pPr>
      <w:r>
        <w:rPr>
          <w:rFonts w:ascii="Times New Roman;serif" w:hAnsi="Times New Roman;serif"/>
          <w:b/>
          <w:color w:val="000000"/>
          <w:sz w:val="20"/>
        </w:rPr>
        <w:t>(a) (3) Exhibits</w:t>
      </w:r>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915"/>
        <w:gridCol w:w="1915"/>
        <w:gridCol w:w="1933"/>
        <w:gridCol w:w="109"/>
        <w:gridCol w:w="109"/>
        <w:gridCol w:w="109"/>
        <w:gridCol w:w="904"/>
        <w:gridCol w:w="776"/>
        <w:gridCol w:w="1102"/>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Certificate of Incorporation, filed April 28, 2014, of 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Incorporated by reference to TransDigm Group Incorporated’s Form 8-K, filed April 28, 2014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Third Amended and Restated Bylaws of 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Incorporated by reference to TransDigm Group Incorporated’s Form 8-K, filed January 30, 2018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Incorporated by reference to Amendment No. 3 to TransDigm Group Incorporated’s Form S-1 filed March 13, 2006 (File No. 333-130483)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20"/>
                  <w:u w:val="single"/>
                </w:rPr>
                <w:t>4.</w:t>
              </w:r>
            </w:hyperlink>
            <w:hyperlink r:id="rId10">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January 20, 2021, among TransDigm Inc., as issuer, TransDigm Group Incorporated, as a guarantor, the subsidiary guarantors party thereto, and The Bank of New York Mellon Trust Company, N.A., as trustee, relating to TransDigm Inc.’s 4.625% Senior Subordinated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20"/>
                  <w:u w:val="single"/>
                </w:rPr>
                <w:t>Incorporated by reference to TransDigm Group Incorporated’s Form 8-K, filed January 20,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80"/>
                  <w:sz w:val="20"/>
                  <w:u w:val="single"/>
                </w:rPr>
                <w:t>4.</w:t>
              </w:r>
            </w:hyperlink>
            <w:hyperlink r:id="rId13">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April 21, 2021, among TransDigm Inc., as issuer, TransDigm Group Incorporated, as a guarantor, the subsidiary guarantors party thereto, and The Bank of New York Mellon Trust Company, N.A., as trustee, relating to TransDigm Inc.’s 4.875% Senior Subordinated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20"/>
                  <w:u w:val="single"/>
                </w:rPr>
                <w:t>Incorporated by reference to TransDigm Group Incorporated’s Form 8-K, filed April 21,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4.</w:t>
              </w:r>
            </w:hyperlink>
            <w:hyperlink r:id="rId16">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February 24, 2023, among TransDigm Inc., as issuer, TransDigm Group Incorporated, as a guarantor, the subsidiary guarantors party thereto, The Bank of New York Mellon Trust Company, N.A., as trustee and US collateral agent, and The Bank of New York Mellon, as UK collateral agent, relating to TransDigm Inc.’s 6.750% Senior Secured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20"/>
                  <w:u w:val="single"/>
                </w:rPr>
                <w:t>Incorporated by reference to TransDigm Group Incorporated's Form 8-K, filed February 24,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80"/>
                  <w:sz w:val="20"/>
                  <w:u w:val="single"/>
                </w:rPr>
                <w:t>4.</w:t>
              </w:r>
            </w:hyperlink>
            <w:hyperlink r:id="rId19">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March 9, 2023, among TransDigm Inc., as issuer, TransDigm Group Incorporated, as a guarantor, the subsidiary guarantors party thereto, The Bank of New York Mellon Trust Company, N.A., as trustee and US collateral agent, and The Bank of New York Mellon, as UK collateral agent, relating to TransDigm Inc.’s 6.750% Senior Secured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20"/>
                  <w:u w:val="single"/>
                </w:rPr>
                <w:t>Incorporated by reference to TransDigm Group Incorporated's Form 8-K, filed March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80"/>
                  <w:sz w:val="20"/>
                  <w:u w:val="single"/>
                </w:rPr>
                <w:t>4.</w:t>
              </w:r>
            </w:hyperlink>
            <w:hyperlink r:id="rId22">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August 18, 2023, among TransDigm Inc., as issuer, TransDigm Group Incorporated, as a guarantor, the subsidiary guarantors party thereto, The Bank of New York Mellon Trust Company, N.A., as trustee and US collateral agent, and The Bank of New York Mellon, as UK collateral agent, relating to TransDigm Inc.’s 6.875% Senior Secured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20"/>
                  <w:u w:val="single"/>
                </w:rPr>
                <w:t>Incorporated by reference to TransDigm Group Incorporated's Form 8-K, filed August 18,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20"/>
                  <w:u w:val="single"/>
                </w:rPr>
                <w:t>4.</w:t>
              </w:r>
            </w:hyperlink>
            <w:hyperlink r:id="rId25">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November 28, 2023, among TransDigm Inc., as issuer, TransDigm Group Incorporated, as a guarantor, the subsidiary guarantors party thereto, The Bank of New York Mellon Trust Company, N.A., as trustee and US collateral agent, and The Bank of New York Mellon, as UK collateral agent, relating to TransDigm Inc.’s 7.125% Senior Secured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20"/>
                  <w:u w:val="single"/>
                </w:rPr>
                <w:t>Incorporated by reference to TransDigm Group Incorporated’s Form 8-K, filed November 28, 2023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167"/>
        <w:gridCol w:w="2126"/>
        <w:gridCol w:w="2147"/>
        <w:gridCol w:w="109"/>
        <w:gridCol w:w="109"/>
        <w:gridCol w:w="109"/>
        <w:gridCol w:w="712"/>
        <w:gridCol w:w="576"/>
        <w:gridCol w:w="81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80"/>
                  <w:sz w:val="20"/>
                  <w:u w:val="single"/>
                </w:rPr>
                <w:t>4.</w:t>
              </w:r>
            </w:hyperlink>
            <w:hyperlink r:id="rId28">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February 27, 2024, among TransDigm Inc., as issuer, TransDigm Group Incorporated, as a guarantor, the subsidiary guarantors party thereto, The Bank of New York Mellon Trust Company, N.A., as trustee and US collateral agent, and The Bank of New York Mellon, as UK collateral agent, relating to TransDigm Inc.’s 6.375% Senior Secured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20"/>
                  <w:u w:val="single"/>
                </w:rPr>
                <w:t>Incorporated by reference to TransDigm Group Incorporated’s Form 8-K, filed February 28,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80"/>
                  <w:sz w:val="20"/>
                  <w:u w:val="single"/>
                </w:rPr>
                <w:t>4.</w:t>
              </w:r>
            </w:hyperlink>
            <w:hyperlink r:id="rId31">
              <w:r>
                <w:rPr>
                  <w:rStyle w:val="InternetLink"/>
                  <w:rFonts w:ascii="Times New Roman;serif" w:hAnsi="Times New Roman;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February 27, 2024, among TransDigm Inc., as issuer, TransDigm Group Incorporated, as a guarantor, the subsidiary guarantors party thereto, The Bank of New York Mellon Trust Company, N.A., as trustee and US collateral agent, and The Bank of New York Mellon, as UK collateral agent, relating to TransDigm Inc.’s 6.625% Senior Secured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20"/>
                  <w:u w:val="single"/>
                </w:rPr>
                <w:t>Incorporated by reference to TransDigm Group Incorporated’s Form 8-K, filed February 28,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80"/>
                  <w:sz w:val="20"/>
                  <w:u w:val="single"/>
                </w:rPr>
                <w:t>4.1</w:t>
              </w:r>
            </w:hyperlink>
            <w:hyperlink r:id="rId34">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March 22, 2024, among TransDigm Inc., as issuer, TransDigm Group Incorporated, as a guarantor, the subsidiary guarantors party thereto, The Bank of New York Mellon Trust Company, N.A., as trustee and US collateral agent, and The Bank of New York Mellon, as UK collateral agent, to the Indenture, dated as of February 27, 2024, among TransDigm Inc., as issuer, TransDigm Group Incorporated, as a guarantor, the subsidiary guarantors party thereto, The Bank of New York Mellon Trust Company, N.A., as trustee and US collateral agent, and The Bank of New York Mellon, as UK collateral agent, relating to TransDigm Inc.’s additional 6.375% Senior Secured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20"/>
                  <w:u w:val="single"/>
                </w:rPr>
                <w:t>Incorporated by reference to TransDigm Group Incorporated’s Form 8-K, filed March 22,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80"/>
                  <w:sz w:val="20"/>
                  <w:u w:val="single"/>
                </w:rPr>
                <w:t>4.1</w:t>
              </w:r>
            </w:hyperlink>
            <w:hyperlink r:id="rId37">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September 19, 2024, among TransDigm Inc., as issuer, TransDigm Group Incorporated, as a guarantor, the subsidiary guarantors party thereto, The Bank of New York Mellon Trust Company, N.A., as trustee and US collateral agent, and The Bank of New York Mellon, as UK collateral agent, relating to TransDigm Inc.’s 6.000% Senior Secured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20"/>
                  <w:u w:val="single"/>
                </w:rPr>
                <w:t>Incorporated by reference to TransDigm Group Incorporated’s Form 8-K, filed September 20,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80"/>
                  <w:sz w:val="20"/>
                  <w:u w:val="single"/>
                </w:rPr>
                <w:t>4.1</w:t>
              </w:r>
            </w:hyperlink>
            <w:hyperlink r:id="rId40">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May 20, 2025, among TransDigm Inc., as issuer, TransDigm Group Incorporated, as a guarantor, the subsidiary guarantors party thereto and The Bank of New York Mellon Trust Company, N.A., as trustee, relating to TransDigm Inc.’s 6.375% Senior Subordinated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20"/>
                  <w:u w:val="single"/>
                </w:rPr>
                <w:t>Incorporated by reference to TransDigm Group Incorporated’s Form 8-K, filed May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80"/>
                  <w:sz w:val="20"/>
                  <w:u w:val="single"/>
                </w:rPr>
                <w:t>4.1</w:t>
              </w:r>
            </w:hyperlink>
            <w:hyperlink r:id="rId43">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August 19, 2025, among TransDigm Inc., as issuer, TransDigm Group Incorporated, as a guarantor, the subsidiary guarantors party thereto, The Bank of New York Mellon Trust Company, N.A., as trustee and US collateral agent, and The Bank of New York Mellon, as UK collateral agent, relating to TransDigm Inc.’s 6.250% Senior Secured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erif" w:hAnsi="Times New Roman;serif"/>
                  <w:b w:val="false"/>
                  <w:color w:val="0000FF"/>
                  <w:sz w:val="20"/>
                  <w:u w:val="single"/>
                </w:rPr>
                <w:t>Incorporated by reference to TransDigm Group Incorporated’s Form 8-K, filed August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80"/>
                  <w:sz w:val="20"/>
                  <w:u w:val="single"/>
                </w:rPr>
                <w:t>4.1</w:t>
              </w:r>
            </w:hyperlink>
            <w:hyperlink r:id="rId46">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August 19, 2025, among TransDigm Inc., as issuer, TransDigm Group Incorporated, as a guarantor, the subsidiary guarantors party thereto and The Bank of New York Mellon Trust Company, N.A., as trustee, relating to TransDigm Inc.’s 6.750% Senior Subordinated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7">
              <w:r>
                <w:rPr>
                  <w:rStyle w:val="InternetLink"/>
                  <w:rFonts w:ascii="Times New Roman;serif" w:hAnsi="Times New Roman;serif"/>
                  <w:b w:val="false"/>
                  <w:color w:val="0000FF"/>
                  <w:sz w:val="20"/>
                  <w:u w:val="single"/>
                </w:rPr>
                <w:t>Incorporated by reference to TransDigm Group Incorporated’s Form 8-K, filed August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80"/>
                  <w:sz w:val="20"/>
                  <w:u w:val="single"/>
                </w:rPr>
                <w:t>4.1</w:t>
              </w:r>
            </w:hyperlink>
            <w:hyperlink r:id="rId49">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Supplemental Indenture to Add New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FF"/>
                  <w:sz w:val="20"/>
                  <w:u w:val="single"/>
                </w:rPr>
                <w:t>Incorporated by reference to TransDigm Group Incorporated’s Form 10-K, filed November 19, 2019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457"/>
        <w:gridCol w:w="1457"/>
        <w:gridCol w:w="1471"/>
        <w:gridCol w:w="109"/>
        <w:gridCol w:w="109"/>
        <w:gridCol w:w="109"/>
        <w:gridCol w:w="1289"/>
        <w:gridCol w:w="1188"/>
        <w:gridCol w:w="1683"/>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80"/>
                  <w:sz w:val="20"/>
                  <w:u w:val="single"/>
                </w:rPr>
                <w:t>4.1</w:t>
              </w:r>
            </w:hyperlink>
            <w:hyperlink r:id="rId52">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4.625% Senior Subordinated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FF"/>
                  <w:sz w:val="20"/>
                  <w:u w:val="single"/>
                </w:rPr>
                <w:t>Incorporated by reference to TransDigm Group Incorporated’s Form 8-K, filed January 20,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80"/>
                  <w:sz w:val="20"/>
                  <w:u w:val="single"/>
                </w:rPr>
                <w:t>4.1</w:t>
              </w:r>
            </w:hyperlink>
            <w:hyperlink r:id="rId55">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4.875% Senior Subordinated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FF"/>
                  <w:sz w:val="20"/>
                  <w:u w:val="single"/>
                </w:rPr>
                <w:t>Incorporated by reference to TransDigm Group Incorporated’s Form 8-K, filed April 21,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80"/>
                  <w:sz w:val="20"/>
                  <w:u w:val="single"/>
                </w:rPr>
                <w:t>4.1</w:t>
              </w:r>
            </w:hyperlink>
            <w:hyperlink r:id="rId58">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6.750% Senior Secured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erif" w:hAnsi="Times New Roman;serif"/>
                  <w:b w:val="false"/>
                  <w:color w:val="0000FF"/>
                  <w:sz w:val="20"/>
                  <w:u w:val="single"/>
                </w:rPr>
                <w:t>Incorporated by reference to TransDigm Group Incorporated's Form 8-K, filed February 24,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80"/>
                  <w:sz w:val="20"/>
                  <w:u w:val="single"/>
                </w:rPr>
                <w:t>4.</w:t>
              </w:r>
            </w:hyperlink>
            <w:hyperlink r:id="rId61">
              <w:r>
                <w:rPr>
                  <w:rStyle w:val="InternetLink"/>
                  <w:rFonts w:ascii="Times New Roman;serif" w:hAnsi="Times New Roman;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6.875% Senior Secured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erif" w:hAnsi="Times New Roman;serif"/>
                  <w:b w:val="false"/>
                  <w:color w:val="0000FF"/>
                  <w:sz w:val="20"/>
                  <w:u w:val="single"/>
                </w:rPr>
                <w:t>Incorporated by reference to TransDigm Group Incorporated's Form 8-K, filed August 18,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80"/>
                  <w:sz w:val="20"/>
                  <w:u w:val="single"/>
                </w:rPr>
                <w:t>4.</w:t>
              </w:r>
            </w:hyperlink>
            <w:hyperlink r:id="rId64">
              <w:r>
                <w:rPr>
                  <w:rStyle w:val="InternetLink"/>
                  <w:rFonts w:ascii="Times New Roman;serif" w:hAnsi="Times New Roman;serif"/>
                  <w:b w:val="false"/>
                  <w:color w:val="000080"/>
                  <w:sz w:val="20"/>
                  <w:u w:val="single"/>
                </w:rPr>
                <w:t>2</w:t>
              </w:r>
            </w:hyperlink>
            <w:hyperlink r:id="rId65">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7.125% Senior Secured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FF"/>
                  <w:sz w:val="20"/>
                  <w:u w:val="single"/>
                </w:rPr>
                <w:t>Incorporated by reference to TransDigm Group Incorporated’s Form 8-K, filed November 28,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80"/>
                  <w:sz w:val="20"/>
                  <w:u w:val="single"/>
                </w:rPr>
                <w:t>4.2</w:t>
              </w:r>
            </w:hyperlink>
            <w:hyperlink r:id="rId68">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6.375% Senior Secured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9">
              <w:r>
                <w:rPr>
                  <w:rStyle w:val="InternetLink"/>
                  <w:rFonts w:ascii="Times New Roman;serif" w:hAnsi="Times New Roman;serif"/>
                  <w:b w:val="false"/>
                  <w:color w:val="0000FF"/>
                  <w:sz w:val="20"/>
                  <w:u w:val="single"/>
                </w:rPr>
                <w:t>Incorporated by reference to TransDigm Group Incorporated’s Form 8-K, filed February 28,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80"/>
                  <w:sz w:val="20"/>
                  <w:u w:val="single"/>
                </w:rPr>
                <w:t>4.2</w:t>
              </w:r>
            </w:hyperlink>
            <w:hyperlink r:id="rId71">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6.625% Senior Secured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2">
              <w:r>
                <w:rPr>
                  <w:rStyle w:val="InternetLink"/>
                  <w:rFonts w:ascii="Times New Roman;serif" w:hAnsi="Times New Roman;serif"/>
                  <w:b w:val="false"/>
                  <w:color w:val="0000FF"/>
                  <w:sz w:val="20"/>
                  <w:u w:val="single"/>
                </w:rPr>
                <w:t>Incorporated by reference to TransDigm Group Incorporated’s Form 8-K, filed February 28,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80"/>
                  <w:sz w:val="20"/>
                  <w:u w:val="single"/>
                </w:rPr>
                <w:t>4.2</w:t>
              </w:r>
            </w:hyperlink>
            <w:hyperlink r:id="rId74">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additional 6.375% Senior Secured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5">
              <w:r>
                <w:rPr>
                  <w:rStyle w:val="InternetLink"/>
                  <w:rFonts w:ascii="Times New Roman;serif" w:hAnsi="Times New Roman;serif"/>
                  <w:b w:val="false"/>
                  <w:color w:val="0000FF"/>
                  <w:sz w:val="20"/>
                  <w:u w:val="single"/>
                </w:rPr>
                <w:t>Incorporated by reference to TransDigm Group Incorporated’s Form 8-K, filed March 22,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80"/>
                  <w:sz w:val="20"/>
                  <w:u w:val="single"/>
                </w:rPr>
                <w:t>4.2</w:t>
              </w:r>
            </w:hyperlink>
            <w:hyperlink r:id="rId77">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6.000% Senior Secured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8">
              <w:r>
                <w:rPr>
                  <w:rStyle w:val="InternetLink"/>
                  <w:rFonts w:ascii="Times New Roman;serif" w:hAnsi="Times New Roman;serif"/>
                  <w:b w:val="false"/>
                  <w:color w:val="0000FF"/>
                  <w:sz w:val="20"/>
                  <w:u w:val="single"/>
                </w:rPr>
                <w:t>Incorporated by reference to TransDigm Group Incorporated’s Form 8-K, filed September 20,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80"/>
                  <w:sz w:val="20"/>
                  <w:u w:val="single"/>
                </w:rPr>
                <w:t>4.</w:t>
              </w:r>
            </w:hyperlink>
            <w:hyperlink r:id="rId80">
              <w:r>
                <w:rPr>
                  <w:rStyle w:val="InternetLink"/>
                  <w:rFonts w:ascii="Times New Roman;serif" w:hAnsi="Times New Roman;serif"/>
                  <w:b w:val="false"/>
                  <w:color w:val="000080"/>
                  <w:sz w:val="20"/>
                  <w:u w:val="single"/>
                </w:rPr>
                <w:t>2</w:t>
              </w:r>
            </w:hyperlink>
            <w:hyperlink r:id="rId81">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6.375% Senior Subordinated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2">
              <w:r>
                <w:rPr>
                  <w:rStyle w:val="InternetLink"/>
                  <w:rFonts w:ascii="Times New Roman;serif" w:hAnsi="Times New Roman;serif"/>
                  <w:b w:val="false"/>
                  <w:color w:val="0000FF"/>
                  <w:sz w:val="20"/>
                  <w:u w:val="single"/>
                </w:rPr>
                <w:t>Incorporated by reference to TransDigm Group Incorporated’s Form 8-K, filed May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80"/>
                  <w:sz w:val="20"/>
                  <w:u w:val="single"/>
                </w:rPr>
                <w:t>4.</w:t>
              </w:r>
            </w:hyperlink>
            <w:hyperlink r:id="rId84">
              <w:r>
                <w:rPr>
                  <w:rStyle w:val="InternetLink"/>
                  <w:rFonts w:ascii="Times New Roman;serif" w:hAnsi="Times New Roman;serif"/>
                  <w:b w:val="false"/>
                  <w:color w:val="000080"/>
                  <w:sz w:val="20"/>
                  <w:u w:val="single"/>
                </w:rPr>
                <w:t>2</w:t>
              </w:r>
            </w:hyperlink>
            <w:hyperlink r:id="rId85">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6.250% Senior Secured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6">
              <w:r>
                <w:rPr>
                  <w:rStyle w:val="InternetLink"/>
                  <w:rFonts w:ascii="Times New Roman;serif" w:hAnsi="Times New Roman;serif"/>
                  <w:b w:val="false"/>
                  <w:color w:val="0000FF"/>
                  <w:sz w:val="20"/>
                  <w:u w:val="single"/>
                </w:rPr>
                <w:t>Incorporated by reference to TransDigm Group Incorporated’s Form 8-K, filed August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80"/>
                  <w:sz w:val="20"/>
                  <w:u w:val="single"/>
                </w:rPr>
                <w:t>4.</w:t>
              </w:r>
            </w:hyperlink>
            <w:hyperlink r:id="rId88">
              <w:r>
                <w:rPr>
                  <w:rStyle w:val="InternetLink"/>
                  <w:rFonts w:ascii="Times New Roman;serif" w:hAnsi="Times New Roman;serif"/>
                  <w:b w:val="false"/>
                  <w:color w:val="000080"/>
                  <w:sz w:val="20"/>
                  <w:u w:val="single"/>
                </w:rPr>
                <w:t>2</w:t>
              </w:r>
            </w:hyperlink>
            <w:hyperlink r:id="rId89">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TransDigm Inc.’s 6.750% Senior Subordinated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0">
              <w:r>
                <w:rPr>
                  <w:rStyle w:val="InternetLink"/>
                  <w:rFonts w:ascii="Times New Roman;serif" w:hAnsi="Times New Roman;serif"/>
                  <w:b w:val="false"/>
                  <w:color w:val="0000FF"/>
                  <w:sz w:val="20"/>
                  <w:u w:val="single"/>
                </w:rPr>
                <w:t>Incorporated by reference to TransDigm Group Incorporated’s Form 8-K, filed August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80"/>
                  <w:sz w:val="20"/>
                  <w:u w:val="single"/>
                </w:rPr>
                <w:t>4.2</w:t>
              </w:r>
            </w:hyperlink>
            <w:hyperlink r:id="rId92">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 of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3">
              <w:r>
                <w:rPr>
                  <w:rStyle w:val="InternetLink"/>
                  <w:rFonts w:ascii="Times New Roman;serif" w:hAnsi="Times New Roman;serif"/>
                  <w:b w:val="false"/>
                  <w:color w:val="0000FF"/>
                  <w:sz w:val="20"/>
                  <w:u w:val="single"/>
                </w:rPr>
                <w:t>Incorporated by reference to TransDigm Group Incorporated’s Form 10-K, filed November 19, 2019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Option Agreement dated August 6, 2021 between the Company and W. Nicholas Howley*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5">
              <w:r>
                <w:rPr>
                  <w:rStyle w:val="InternetLink"/>
                  <w:rFonts w:ascii="Times New Roman;serif" w:hAnsi="Times New Roman;serif"/>
                  <w:b w:val="false"/>
                  <w:color w:val="0000FF"/>
                  <w:sz w:val="20"/>
                  <w:u w:val="single"/>
                </w:rPr>
                <w:t>Incorporated by reference to TransDigm Group Incorporated’s Form 8-K, filed August 10,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80"/>
                  <w:sz w:val="20"/>
                  <w:u w:val="single"/>
                </w:rPr>
                <w:t>10.</w:t>
              </w:r>
            </w:hyperlink>
            <w:hyperlink r:id="rId97">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July 26, 2023, between TransDigm Group Incorporated and 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98">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October 1, 2025, between the Company and 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0">
              <w:r>
                <w:rPr>
                  <w:rStyle w:val="InternetLink"/>
                  <w:rFonts w:ascii="Times New Roman;serif" w:hAnsi="Times New Roman;serif"/>
                  <w:b w:val="false"/>
                  <w:color w:val="0000FF"/>
                  <w:sz w:val="20"/>
                  <w:u w:val="single"/>
                </w:rPr>
                <w:t>Incorporated by reference to TransDigm Group Incorporated’s Form 8-K, filed October 1, 2025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595"/>
        <w:gridCol w:w="1595"/>
        <w:gridCol w:w="1611"/>
        <w:gridCol w:w="109"/>
        <w:gridCol w:w="109"/>
        <w:gridCol w:w="109"/>
        <w:gridCol w:w="1181"/>
        <w:gridCol w:w="1061"/>
        <w:gridCol w:w="1502"/>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80"/>
                  <w:sz w:val="20"/>
                  <w:u w:val="single"/>
                </w:rPr>
                <w:t>10.</w:t>
              </w:r>
            </w:hyperlink>
            <w:hyperlink r:id="rId102">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July 26, 2023, between TransDigm Group Incorporated and Joel Reiss*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3">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0080"/>
                  <w:sz w:val="20"/>
                  <w:u w:val="single"/>
                </w:rPr>
                <w:t>10.</w:t>
              </w:r>
            </w:hyperlink>
            <w:hyperlink r:id="rId105">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July 26, 2023, between TransDigm Group Incorporated and 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6">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amendedandrestat.htm">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Employment Agreement, dated August 5, 2025, between the Company and Patrick J. Murphy*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6amendedandrestat.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employmentagreem.htm">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Employment Agreement, dated July 7, 2025, between the Company and Armani Vadiee*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7employmentagreem.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erif" w:hAnsi="Times New Roman;serif"/>
                  <w:b w:val="false"/>
                  <w:color w:val="000080"/>
                  <w:sz w:val="20"/>
                  <w:u w:val="single"/>
                </w:rPr>
                <w:t>10.</w:t>
              </w:r>
            </w:hyperlink>
            <w:hyperlink r:id="rId108">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Consulting Agreement, dated October 1, 2025, between the Company and Kevin 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09">
              <w:r>
                <w:rPr>
                  <w:rStyle w:val="InternetLink"/>
                  <w:rFonts w:ascii="Times New Roman;serif" w:hAnsi="Times New Roman;serif"/>
                  <w:b w:val="false"/>
                  <w:color w:val="0000FF"/>
                  <w:sz w:val="20"/>
                  <w:u w:val="single"/>
                </w:rPr>
                <w:t>Incorporated by reference to TransDigm Group Incorporated’s Form 8-K, filed October 3,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80"/>
                  <w:sz w:val="20"/>
                  <w:u w:val="single"/>
                </w:rPr>
                <w:t>10.</w:t>
              </w:r>
            </w:hyperlink>
            <w:hyperlink r:id="rId111">
              <w:r>
                <w:rPr>
                  <w:rStyle w:val="InternetLink"/>
                  <w:rFonts w:ascii="Times New Roman;serif" w:hAnsi="Times New Roman;serif"/>
                  <w:b w:val="false"/>
                  <w:color w:val="000080"/>
                  <w:sz w:val="20"/>
                  <w:u w:val="single"/>
                </w:rPr>
                <w:t>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2006 Stock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2">
              <w:r>
                <w:rPr>
                  <w:rStyle w:val="InternetLink"/>
                  <w:rFonts w:ascii="Times New Roman;serif" w:hAnsi="Times New Roman;serif"/>
                  <w:b w:val="false"/>
                  <w:color w:val="0000FF"/>
                  <w:sz w:val="20"/>
                  <w:u w:val="single"/>
                </w:rPr>
                <w:t>Incorporated by reference to Amendment No. 3 to TransDigm Group Incorporated’s Form S-1, filed March 13, 2006 (File No. 333-130483)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3">
              <w:r>
                <w:rPr>
                  <w:rStyle w:val="InternetLink"/>
                  <w:rFonts w:ascii="Times New Roman;serif" w:hAnsi="Times New Roman;serif"/>
                  <w:b w:val="false"/>
                  <w:color w:val="000080"/>
                  <w:sz w:val="20"/>
                  <w:u w:val="single"/>
                </w:rPr>
                <w:t>10.</w:t>
              </w:r>
            </w:hyperlink>
            <w:hyperlink r:id="rId114">
              <w:r>
                <w:rPr>
                  <w:rStyle w:val="InternetLink"/>
                  <w:rFonts w:ascii="Times New Roman;serif" w:hAnsi="Times New Roman;serif"/>
                  <w:b w:val="false"/>
                  <w:color w:val="000080"/>
                  <w:sz w:val="20"/>
                  <w:u w:val="single"/>
                </w:rPr>
                <w:t>10</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 dated October 20, 2006, to the TransDigm Group Incorporated 2006 Stock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5">
              <w:r>
                <w:rPr>
                  <w:rStyle w:val="InternetLink"/>
                  <w:rFonts w:ascii="Times New Roman;serif" w:hAnsi="Times New Roman;serif"/>
                  <w:b w:val="false"/>
                  <w:color w:val="0000FF"/>
                  <w:sz w:val="20"/>
                  <w:u w:val="single"/>
                </w:rPr>
                <w:t>Incorporated by reference to Amendment No. 1 to TransDigm Inc.’s and TransDigm Group Incorporated’s Form S-4, filed November 7, 2006 (File No. 333-137937)</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6">
              <w:r>
                <w:rPr>
                  <w:rStyle w:val="InternetLink"/>
                  <w:rFonts w:ascii="Times New Roman;serif" w:hAnsi="Times New Roman;serif"/>
                  <w:b w:val="false"/>
                  <w:color w:val="000080"/>
                  <w:sz w:val="20"/>
                  <w:u w:val="single"/>
                </w:rPr>
                <w:t>10.1</w:t>
              </w:r>
            </w:hyperlink>
            <w:hyperlink r:id="rId117">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to TransDigm Group Incorporated 2006 Stock Incentive Plan, dated April 25, 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8">
              <w:r>
                <w:rPr>
                  <w:rStyle w:val="InternetLink"/>
                  <w:rFonts w:ascii="Times New Roman;serif" w:hAnsi="Times New Roman;serif"/>
                  <w:b w:val="false"/>
                  <w:color w:val="0000FF"/>
                  <w:sz w:val="20"/>
                  <w:u w:val="single"/>
                </w:rPr>
                <w:t>Incorporated by reference to TransDigm Group Incorporated’s Schedule 14A, filed June 6, 2008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9">
              <w:r>
                <w:rPr>
                  <w:rStyle w:val="InternetLink"/>
                  <w:rFonts w:ascii="Times New Roman;serif" w:hAnsi="Times New Roman;serif"/>
                  <w:b w:val="false"/>
                  <w:color w:val="000080"/>
                  <w:sz w:val="20"/>
                  <w:u w:val="single"/>
                </w:rPr>
                <w:t>10.1</w:t>
              </w:r>
            </w:hyperlink>
            <w:hyperlink r:id="rId120">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TransDigm Group Incorporated 2014 Stock Option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1">
              <w:r>
                <w:rPr>
                  <w:rStyle w:val="InternetLink"/>
                  <w:rFonts w:ascii="Times New Roman;serif" w:hAnsi="Times New Roman;serif"/>
                  <w:b w:val="false"/>
                  <w:color w:val="0000FF"/>
                  <w:sz w:val="20"/>
                  <w:u w:val="single"/>
                </w:rPr>
                <w:t>Incorporated by reference to TransDigm Group Incorporated’s Form 10-Q, filed August 7, 2019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2">
              <w:r>
                <w:rPr>
                  <w:rStyle w:val="InternetLink"/>
                  <w:rFonts w:ascii="Times New Roman;serif" w:hAnsi="Times New Roman;serif"/>
                  <w:b w:val="false"/>
                  <w:color w:val="000080"/>
                  <w:sz w:val="20"/>
                  <w:u w:val="single"/>
                </w:rPr>
                <w:t>10.1</w:t>
              </w:r>
            </w:hyperlink>
            <w:hyperlink r:id="rId123">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2019 Stock Option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4">
              <w:r>
                <w:rPr>
                  <w:rStyle w:val="InternetLink"/>
                  <w:rFonts w:ascii="Times New Roman;serif" w:hAnsi="Times New Roman;serif"/>
                  <w:b w:val="false"/>
                  <w:color w:val="0000FF"/>
                  <w:sz w:val="20"/>
                  <w:u w:val="single"/>
                </w:rPr>
                <w:t>Incorporated by reference to TransDigm Group Incorporated’s Form 8-K, filed October 4, 2019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5">
              <w:r>
                <w:rPr>
                  <w:rStyle w:val="InternetLink"/>
                  <w:rFonts w:ascii="Times New Roman;serif" w:hAnsi="Times New Roman;serif"/>
                  <w:b w:val="false"/>
                  <w:color w:val="000080"/>
                  <w:sz w:val="20"/>
                  <w:u w:val="single"/>
                </w:rPr>
                <w:t>10.1</w:t>
              </w:r>
            </w:hyperlink>
            <w:hyperlink r:id="rId126">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2019 Stock Option Plan Dividend Equivalent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7">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8">
              <w:r>
                <w:rPr>
                  <w:rStyle w:val="InternetLink"/>
                  <w:rFonts w:ascii="Times New Roman;serif" w:hAnsi="Times New Roman;serif"/>
                  <w:b w:val="false"/>
                  <w:color w:val="000080"/>
                  <w:sz w:val="20"/>
                  <w:u w:val="single"/>
                </w:rPr>
                <w:t>10.1</w:t>
              </w:r>
            </w:hyperlink>
            <w:hyperlink r:id="rId129">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2016 Director Share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0">
              <w:r>
                <w:rPr>
                  <w:rStyle w:val="InternetLink"/>
                  <w:rFonts w:ascii="Times New Roman;serif" w:hAnsi="Times New Roman;serif"/>
                  <w:b w:val="false"/>
                  <w:color w:val="0000FF"/>
                  <w:sz w:val="20"/>
                  <w:u w:val="single"/>
                </w:rPr>
                <w:t>Incorporated by reference to TransDigm Group Incorporated’s Form 10-Q, filed February 10, 2016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Times New Roman;serif" w:hAnsi="Times New Roman;serif"/>
                  <w:b w:val="false"/>
                  <w:color w:val="000080"/>
                  <w:sz w:val="20"/>
                  <w:u w:val="single"/>
                </w:rPr>
                <w:t>10.</w:t>
              </w:r>
            </w:hyperlink>
            <w:hyperlink r:id="rId132">
              <w:r>
                <w:rPr>
                  <w:rStyle w:val="InternetLink"/>
                  <w:rFonts w:ascii="Times New Roman;serif" w:hAnsi="Times New Roman;serif"/>
                  <w:b w:val="false"/>
                  <w:color w:val="000080"/>
                  <w:sz w:val="20"/>
                  <w:u w:val="single"/>
                </w:rPr>
                <w:t>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Agreement for options awarded in fiscal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3">
              <w:r>
                <w:rPr>
                  <w:rStyle w:val="InternetLink"/>
                  <w:rFonts w:ascii="Times New Roman;serif" w:hAnsi="Times New Roman;serif"/>
                  <w:b w:val="false"/>
                  <w:color w:val="0000FF"/>
                  <w:sz w:val="20"/>
                  <w:u w:val="single"/>
                </w:rPr>
                <w:t>Incorporated by reference to TransDigm Group Incorporated’s Form 10-K, filed November 12, 2020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4">
              <w:r>
                <w:rPr>
                  <w:rStyle w:val="InternetLink"/>
                  <w:rFonts w:ascii="Times New Roman;serif" w:hAnsi="Times New Roman;serif"/>
                  <w:b w:val="false"/>
                  <w:color w:val="000080"/>
                  <w:sz w:val="20"/>
                  <w:u w:val="single"/>
                </w:rPr>
                <w:t>10.</w:t>
              </w:r>
            </w:hyperlink>
            <w:hyperlink r:id="rId135">
              <w:r>
                <w:rPr>
                  <w:rStyle w:val="InternetLink"/>
                  <w:rFonts w:ascii="Times New Roman;serif" w:hAnsi="Times New Roman;serif"/>
                  <w:b w:val="false"/>
                  <w:color w:val="000080"/>
                  <w:sz w:val="20"/>
                  <w:u w:val="single"/>
                </w:rPr>
                <w:t>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Agreement for options awarded in fiscal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6">
              <w:r>
                <w:rPr>
                  <w:rStyle w:val="InternetLink"/>
                  <w:rFonts w:ascii="Times New Roman;serif" w:hAnsi="Times New Roman;serif"/>
                  <w:b w:val="false"/>
                  <w:color w:val="0000FF"/>
                  <w:sz w:val="20"/>
                  <w:u w:val="single"/>
                </w:rPr>
                <w:t>Incorporated by reference to TransDigm Group Incorporated’s Form 10-K, filed November 16,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7">
              <w:r>
                <w:rPr>
                  <w:rStyle w:val="InternetLink"/>
                  <w:rFonts w:ascii="Times New Roman;serif" w:hAnsi="Times New Roman;serif"/>
                  <w:b w:val="false"/>
                  <w:color w:val="000080"/>
                  <w:sz w:val="20"/>
                  <w:u w:val="single"/>
                </w:rPr>
                <w:t>10.</w:t>
              </w:r>
            </w:hyperlink>
            <w:hyperlink r:id="rId138">
              <w:r>
                <w:rPr>
                  <w:rStyle w:val="InternetLink"/>
                  <w:rFonts w:ascii="Times New Roman;serif" w:hAnsi="Times New Roman;serif"/>
                  <w:b w:val="false"/>
                  <w:color w:val="000080"/>
                  <w:sz w:val="20"/>
                  <w:u w:val="single"/>
                </w:rPr>
                <w:t>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Agreement for options awarded in fiscal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9">
              <w:r>
                <w:rPr>
                  <w:rStyle w:val="InternetLink"/>
                  <w:rFonts w:ascii="Times New Roman;serif" w:hAnsi="Times New Roman;serif"/>
                  <w:b w:val="false"/>
                  <w:color w:val="0000FF"/>
                  <w:sz w:val="20"/>
                  <w:u w:val="single"/>
                </w:rPr>
                <w:t>Incorporated by reference to TransDigm Group Incorporated’s Form 10-K, filed November 10, 2022 (File No. 001-32833)</w:t>
              </w:r>
            </w:hyperlink>
          </w:p>
          <w:p>
            <w:pPr>
              <w:pStyle w:val="TableContents"/>
              <w:bidi w:val="0"/>
              <w:spacing w:before="0" w:after="0"/>
              <w:jc w:val="both"/>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0">
              <w:r>
                <w:rPr>
                  <w:rStyle w:val="InternetLink"/>
                  <w:rFonts w:ascii="Times New Roman;serif" w:hAnsi="Times New Roman;serif"/>
                  <w:b w:val="false"/>
                  <w:color w:val="000080"/>
                  <w:sz w:val="20"/>
                  <w:u w:val="single"/>
                </w:rPr>
                <w:t>10.</w:t>
              </w:r>
            </w:hyperlink>
            <w:hyperlink r:id="rId141">
              <w:r>
                <w:rPr>
                  <w:rStyle w:val="InternetLink"/>
                  <w:rFonts w:ascii="Times New Roman;serif" w:hAnsi="Times New Roman;serif"/>
                  <w:b w:val="false"/>
                  <w:color w:val="000080"/>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Grant Notice and Agreement for executive officers under the TransDigm Group Incorporated 2019 Stock Option Plan (or TransDigm Group Incorporated 2014 Stock Option Plan) for options awarded in 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2">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975"/>
        <w:gridCol w:w="1863"/>
        <w:gridCol w:w="1883"/>
        <w:gridCol w:w="109"/>
        <w:gridCol w:w="109"/>
        <w:gridCol w:w="109"/>
        <w:gridCol w:w="914"/>
        <w:gridCol w:w="790"/>
        <w:gridCol w:w="112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3">
              <w:r>
                <w:rPr>
                  <w:rStyle w:val="InternetLink"/>
                  <w:rFonts w:ascii="Times New Roman;serif" w:hAnsi="Times New Roman;serif"/>
                  <w:b w:val="false"/>
                  <w:color w:val="000080"/>
                  <w:sz w:val="20"/>
                  <w:u w:val="single"/>
                </w:rPr>
                <w:t>10.2</w:t>
              </w:r>
            </w:hyperlink>
            <w:hyperlink r:id="rId144">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Grant Notice and Agreement for directors under the TransDigm Group Incorporated 2019 Stock Option Plan for options awarded in 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5">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6">
              <w:r>
                <w:rPr>
                  <w:rStyle w:val="InternetLink"/>
                  <w:rFonts w:ascii="Times New Roman;serif" w:hAnsi="Times New Roman;serif"/>
                  <w:b w:val="false"/>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Grant Notice and Agreement for executive officers under the TransDigm Group Incorporated 2019 Stock Option Plan for options awarded in 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7">
              <w:r>
                <w:rPr>
                  <w:rStyle w:val="InternetLink"/>
                  <w:rFonts w:ascii="Times New Roman;serif" w:hAnsi="Times New Roman;serif"/>
                  <w:b w:val="false"/>
                  <w:color w:val="0000FF"/>
                  <w:sz w:val="20"/>
                  <w:u w:val="single"/>
                </w:rPr>
                <w:t>Incorporated by reference to TransDigm Group Incorporated’s Form 10-K, filed November 7,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8">
              <w:r>
                <w:rPr>
                  <w:rStyle w:val="InternetLink"/>
                  <w:rFonts w:ascii="Times New Roman;serif" w:hAnsi="Times New Roman;serif"/>
                  <w:b w:val="false"/>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Grant Notice and Agreement for directors under the TransDigm Group Incorporated 2019 Stock Option Plan for options awarded in 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49">
              <w:r>
                <w:rPr>
                  <w:rStyle w:val="InternetLink"/>
                  <w:rFonts w:ascii="Times New Roman;serif" w:hAnsi="Times New Roman;serif"/>
                  <w:b w:val="false"/>
                  <w:color w:val="0000FF"/>
                  <w:sz w:val="20"/>
                  <w:u w:val="single"/>
                </w:rPr>
                <w:t>Incorporated by reference to TransDigm Group Incorporated’s Form 10-K, filed November 7,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formofstockopti.htm">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Stock Option Agreement for Director and NEO options awarded in 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3formofstockopti.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0">
              <w:r>
                <w:rPr>
                  <w:rStyle w:val="InternetLink"/>
                  <w:rFonts w:ascii="Times New Roman;serif" w:hAnsi="Times New Roman;serif"/>
                  <w:b w:val="false"/>
                  <w:color w:val="000080"/>
                  <w:sz w:val="20"/>
                  <w:u w:val="single"/>
                </w:rPr>
                <w:t>10.2</w:t>
              </w:r>
            </w:hyperlink>
            <w:hyperlink r:id="rId151">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Fourth Amended and Restated TransDigm Group Incorporated 2006 Stock Incentive Plan Dividend Equivalent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2">
              <w:r>
                <w:rPr>
                  <w:rStyle w:val="InternetLink"/>
                  <w:rFonts w:ascii="Times New Roman;serif" w:hAnsi="Times New Roman;serif"/>
                  <w:b w:val="false"/>
                  <w:color w:val="0000FF"/>
                  <w:sz w:val="20"/>
                  <w:u w:val="single"/>
                </w:rPr>
                <w:t>Incorporated by reference to TransDigm Group Incorporated’s Form 10-Q, filed August 9, 2022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3">
              <w:r>
                <w:rPr>
                  <w:rStyle w:val="InternetLink"/>
                  <w:rFonts w:ascii="Times New Roman;serif" w:hAnsi="Times New Roman;serif"/>
                  <w:b w:val="false"/>
                  <w:color w:val="000080"/>
                  <w:sz w:val="20"/>
                  <w:u w:val="single"/>
                </w:rPr>
                <w:t>10.2</w:t>
              </w:r>
            </w:hyperlink>
            <w:hyperlink r:id="rId154">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Fourth Amended and Restated TransDigm Group Incorporated 2006 Stock Incentive Plan Dividend Equivalent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5">
              <w:r>
                <w:rPr>
                  <w:rStyle w:val="InternetLink"/>
                  <w:rFonts w:ascii="Times New Roman;serif" w:hAnsi="Times New Roman;serif"/>
                  <w:b w:val="false"/>
                  <w:color w:val="0000FF"/>
                  <w:sz w:val="20"/>
                  <w:u w:val="single"/>
                </w:rPr>
                <w:t>Incorporated by reference to TransDigm Group Incorporated’s Form 10-K, filed November 10, 2022 (File No. 001-32833)</w:t>
              </w:r>
            </w:hyperlink>
          </w:p>
          <w:p>
            <w:pPr>
              <w:pStyle w:val="TableContents"/>
              <w:bidi w:val="0"/>
              <w:spacing w:before="0" w:after="0"/>
              <w:jc w:val="both"/>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6">
              <w:r>
                <w:rPr>
                  <w:rStyle w:val="InternetLink"/>
                  <w:rFonts w:ascii="Times New Roman;serif" w:hAnsi="Times New Roman;serif"/>
                  <w:b w:val="false"/>
                  <w:color w:val="000080"/>
                  <w:sz w:val="20"/>
                  <w:u w:val="single"/>
                </w:rPr>
                <w:t>10.2</w:t>
              </w:r>
            </w:hyperlink>
            <w:hyperlink r:id="rId157">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TransDigm Group Incorporated 2014 Stock Option Plan Dividend Equivalent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8">
              <w:r>
                <w:rPr>
                  <w:rStyle w:val="InternetLink"/>
                  <w:rFonts w:ascii="Times New Roman;serif" w:hAnsi="Times New Roman;serif"/>
                  <w:b w:val="false"/>
                  <w:color w:val="0000FF"/>
                  <w:sz w:val="20"/>
                  <w:u w:val="single"/>
                </w:rPr>
                <w:t>Incorporated by reference to TransDigm Group Incorporated’s Form 10-Q, filed August 9, 2022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Times New Roman;serif" w:hAnsi="Times New Roman;serif"/>
                  <w:b w:val="false"/>
                  <w:color w:val="000080"/>
                  <w:sz w:val="20"/>
                  <w:u w:val="single"/>
                </w:rPr>
                <w:t>10.</w:t>
              </w:r>
            </w:hyperlink>
            <w:hyperlink r:id="rId160">
              <w:r>
                <w:rPr>
                  <w:rStyle w:val="InternetLink"/>
                  <w:rFonts w:ascii="Times New Roman;serif" w:hAnsi="Times New Roman;serif"/>
                  <w:b w:val="false"/>
                  <w:color w:val="000080"/>
                  <w:sz w:val="20"/>
                  <w:u w:val="single"/>
                </w:rPr>
                <w:t>2</w:t>
              </w:r>
            </w:hyperlink>
            <w:hyperlink r:id="rId161">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to Amended and Restated TransDigm Group Incorporated 2014 Stock Option Plan Dividend Equivalent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2">
              <w:r>
                <w:rPr>
                  <w:rStyle w:val="InternetLink"/>
                  <w:rFonts w:ascii="Times New Roman;serif" w:hAnsi="Times New Roman;serif"/>
                  <w:b w:val="false"/>
                  <w:color w:val="0000FF"/>
                  <w:sz w:val="20"/>
                  <w:u w:val="single"/>
                </w:rPr>
                <w:t>Incorporated by reference to TransDigm Group Incorporated’s Form 10-K, filed November 10, 2022 (File No. 001-32833)</w:t>
              </w:r>
            </w:hyperlink>
          </w:p>
          <w:p>
            <w:pPr>
              <w:pStyle w:val="TableContents"/>
              <w:bidi w:val="0"/>
              <w:spacing w:before="0" w:after="0"/>
              <w:jc w:val="both"/>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3">
              <w:r>
                <w:rPr>
                  <w:rStyle w:val="InternetLink"/>
                  <w:rFonts w:ascii="Times New Roman;serif" w:hAnsi="Times New Roman;serif"/>
                  <w:b w:val="false"/>
                  <w:color w:val="000080"/>
                  <w:sz w:val="20"/>
                  <w:u w:val="single"/>
                </w:rPr>
                <w:t>10.</w:t>
              </w:r>
            </w:hyperlink>
            <w:hyperlink r:id="rId164">
              <w:r>
                <w:rPr>
                  <w:rStyle w:val="InternetLink"/>
                  <w:rFonts w:ascii="Times New Roman;serif" w:hAnsi="Times New Roman;serif"/>
                  <w:b w:val="false"/>
                  <w:color w:val="000080"/>
                  <w:sz w:val="20"/>
                  <w:u w:val="single"/>
                </w:rPr>
                <w:t>2</w:t>
              </w:r>
            </w:hyperlink>
            <w:hyperlink r:id="rId165">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Amendment to Director Options to Effect Changes in Dividend Equivalent Payment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6">
              <w:r>
                <w:rPr>
                  <w:rStyle w:val="InternetLink"/>
                  <w:rFonts w:ascii="Times New Roman;serif" w:hAnsi="Times New Roman;serif"/>
                  <w:b w:val="false"/>
                  <w:color w:val="0000FF"/>
                  <w:sz w:val="20"/>
                  <w:u w:val="single"/>
                </w:rPr>
                <w:t>Incorporated by reference to TransDigm Group Incorporated’s Form 10-Q, filed August 9, 2022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7">
              <w:r>
                <w:rPr>
                  <w:rStyle w:val="InternetLink"/>
                  <w:rFonts w:ascii="Times New Roman;serif" w:hAnsi="Times New Roman;serif"/>
                  <w:b w:val="false"/>
                  <w:color w:val="000080"/>
                  <w:sz w:val="20"/>
                  <w:u w:val="single"/>
                </w:rPr>
                <w:t>10.</w:t>
              </w:r>
            </w:hyperlink>
            <w:hyperlink r:id="rId168">
              <w:r>
                <w:rPr>
                  <w:rStyle w:val="InternetLink"/>
                  <w:rFonts w:ascii="Times New Roman;serif" w:hAnsi="Times New Roman;serif"/>
                  <w:b w:val="false"/>
                  <w:color w:val="000080"/>
                  <w:sz w:val="20"/>
                  <w:u w:val="single"/>
                </w:rPr>
                <w:t>29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and Restatement Agreement, and Second Amendment and Restated Credit Agreement, dated as of June 4, 2014, among TransDigm Inc., TransDigm Group Incorporated, the subsidiaries of TransDigm Inc. from time to time party thereto, the lenders party thereto, as lenders, and Credit Suisse AG, as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9">
              <w:r>
                <w:rPr>
                  <w:rStyle w:val="InternetLink"/>
                  <w:rFonts w:ascii="Times New Roman;serif" w:hAnsi="Times New Roman;serif"/>
                  <w:b w:val="false"/>
                  <w:color w:val="0000FF"/>
                  <w:sz w:val="20"/>
                  <w:u w:val="single"/>
                </w:rPr>
                <w:t>Incorporated by reference to TransDigm Group Incorporated’s Form 8-K, filed June 6, 2014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0">
              <w:r>
                <w:rPr>
                  <w:rStyle w:val="InternetLink"/>
                  <w:rFonts w:ascii="Times New Roman;serif" w:hAnsi="Times New Roman;serif"/>
                  <w:b w:val="false"/>
                  <w:color w:val="000080"/>
                  <w:sz w:val="20"/>
                  <w:u w:val="single"/>
                </w:rPr>
                <w:t>10.3</w:t>
              </w:r>
            </w:hyperlink>
            <w:hyperlink r:id="rId171">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Incremental Assumption and Refinancing Facility Agreement, dated as of May 14, 2015, among TransDigm Inc., TransDigm Group Incorporated, the subsidiary guarantors party thereto, Credit Suisse AG, as administrative agent and collateral agent, and the other agents and lenders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2">
              <w:r>
                <w:rPr>
                  <w:rStyle w:val="InternetLink"/>
                  <w:rFonts w:ascii="Times New Roman;serif" w:hAnsi="Times New Roman;serif"/>
                  <w:b w:val="false"/>
                  <w:color w:val="0000FF"/>
                  <w:sz w:val="20"/>
                  <w:u w:val="single"/>
                </w:rPr>
                <w:t>Incorporated by reference to TransDigm Group Incorporated’s Form 8-K, filed May 19, 2015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Times New Roman;serif" w:hAnsi="Times New Roman;serif"/>
                  <w:b w:val="false"/>
                  <w:color w:val="000080"/>
                  <w:sz w:val="20"/>
                  <w:u w:val="single"/>
                </w:rPr>
                <w:t>10.3</w:t>
              </w:r>
            </w:hyperlink>
            <w:hyperlink r:id="rId174">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Loan Modification Agreement, dated as of May 20, 2015, among TransDigm Inc., TransDigm Group Incorporated, the subsidiary guarantors party thereto, Credit Suisse AG, as administrative agent and collateral agent, and the other agents and lenders party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5">
              <w:r>
                <w:rPr>
                  <w:rStyle w:val="InternetLink"/>
                  <w:rFonts w:ascii="Times New Roman;serif" w:hAnsi="Times New Roman;serif"/>
                  <w:b w:val="false"/>
                  <w:color w:val="0000FF"/>
                  <w:sz w:val="20"/>
                  <w:u w:val="single"/>
                </w:rPr>
                <w:t>Incorporated by reference to TransDigm Group Incorporated’s Form 8-K, filed May 27, 2015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6">
              <w:r>
                <w:rPr>
                  <w:rStyle w:val="InternetLink"/>
                  <w:rFonts w:ascii="Times New Roman;serif" w:hAnsi="Times New Roman;serif"/>
                  <w:b w:val="false"/>
                  <w:color w:val="000080"/>
                  <w:sz w:val="20"/>
                  <w:u w:val="single"/>
                </w:rPr>
                <w:t>10.3</w:t>
              </w:r>
            </w:hyperlink>
            <w:hyperlink r:id="rId177">
              <w:r>
                <w:rPr>
                  <w:rStyle w:val="InternetLink"/>
                  <w:rFonts w:ascii="Times New Roman;serif" w:hAnsi="Times New Roman;serif"/>
                  <w:b w:val="false"/>
                  <w:color w:val="000080"/>
                  <w:sz w:val="20"/>
                  <w:u w:val="single"/>
                </w:rPr>
                <w:t>2</w:t>
              </w:r>
            </w:hyperlink>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Incremental Revolving Credit Assumption and Refinancing Facility Agreement, dated as of May 20, 2015, among TransDigm Inc., TransDigm Group Incorporated, the subsidiary guarantors party thereto, Credit Suisse AG, as administrative agent and collateral agent and the other agents and lenders party thereto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8">
              <w:r>
                <w:rPr>
                  <w:rStyle w:val="InternetLink"/>
                  <w:rFonts w:ascii="Times New Roman;serif" w:hAnsi="Times New Roman;serif"/>
                  <w:b w:val="false"/>
                  <w:color w:val="0000FF"/>
                  <w:sz w:val="20"/>
                  <w:u w:val="single"/>
                </w:rPr>
                <w:t>Incorporated by reference to TransDigm Group Incorporated’s Form 8-K, filed May 27, 2015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999"/>
        <w:gridCol w:w="1999"/>
        <w:gridCol w:w="2018"/>
        <w:gridCol w:w="109"/>
        <w:gridCol w:w="109"/>
        <w:gridCol w:w="109"/>
        <w:gridCol w:w="831"/>
        <w:gridCol w:w="702"/>
        <w:gridCol w:w="996"/>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9">
              <w:r>
                <w:rPr>
                  <w:rStyle w:val="InternetLink"/>
                  <w:rFonts w:ascii="Times New Roman;serif" w:hAnsi="Times New Roman;serif"/>
                  <w:b w:val="false"/>
                  <w:color w:val="000080"/>
                  <w:sz w:val="20"/>
                  <w:u w:val="single"/>
                </w:rPr>
                <w:t>10.3</w:t>
              </w:r>
            </w:hyperlink>
            <w:hyperlink r:id="rId180">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Incremental Term Loan Assumption Agreement dated October 14, 2016 among TransDigm Inc., TransDigm Group Incorporated, the subsidiaries of TransDigm Inc. party thereto, the lenders party thereto and Credit Suisse AG, as administrative and collateral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1">
              <w:r>
                <w:rPr>
                  <w:rStyle w:val="InternetLink"/>
                  <w:rFonts w:ascii="Times New Roman;serif" w:hAnsi="Times New Roman;serif"/>
                  <w:b w:val="false"/>
                  <w:color w:val="0000FF"/>
                  <w:sz w:val="20"/>
                  <w:u w:val="single"/>
                </w:rPr>
                <w:t>Incorporated by reference to TransDigm Group Incorporated’s Form 8-K, filed October 14, 2016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2">
              <w:r>
                <w:rPr>
                  <w:rStyle w:val="InternetLink"/>
                  <w:rFonts w:ascii="Times New Roman;serif" w:hAnsi="Times New Roman;serif"/>
                  <w:b w:val="false"/>
                  <w:color w:val="000080"/>
                  <w:sz w:val="20"/>
                  <w:u w:val="single"/>
                </w:rPr>
                <w:t>10.3</w:t>
              </w:r>
            </w:hyperlink>
            <w:hyperlink r:id="rId183">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2 to the Second Amended and Restated Credit Agreement, dated as of March 6, 2017, among TransDigm Inc., as borrower, TransDigm Group Incorporated, as guarantor, the subsidiary guarantors party thereto, Credit Suisse AG, as administrative agent and collateral agent, and the other agents and lenders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4">
              <w:r>
                <w:rPr>
                  <w:rStyle w:val="InternetLink"/>
                  <w:rFonts w:ascii="Times New Roman;serif" w:hAnsi="Times New Roman;serif"/>
                  <w:b w:val="false"/>
                  <w:color w:val="0000FF"/>
                  <w:sz w:val="20"/>
                  <w:u w:val="single"/>
                </w:rPr>
                <w:t>Incorporated by reference to TransDigm Group Incorporated’s Form 8-K, filed March 8, 2017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5">
              <w:r>
                <w:rPr>
                  <w:rStyle w:val="InternetLink"/>
                  <w:rFonts w:ascii="Times New Roman;serif" w:hAnsi="Times New Roman;serif"/>
                  <w:b w:val="false"/>
                  <w:color w:val="000080"/>
                  <w:sz w:val="20"/>
                  <w:u w:val="single"/>
                </w:rPr>
                <w:t>10.3</w:t>
              </w:r>
            </w:hyperlink>
            <w:hyperlink r:id="rId186">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3 to the Second Amended and Restated Credit Agreement, dated as of August 22, 2017, among TransDigm Inc., as borrower, TransDigm Group Incorporated, as guarantor, the subsidiary guarantors party thereto, Credit Suisse AG, as administrative agent and collateral agent, and the other agents and lenders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7">
              <w:r>
                <w:rPr>
                  <w:rStyle w:val="InternetLink"/>
                  <w:rFonts w:ascii="Times New Roman;serif" w:hAnsi="Times New Roman;serif"/>
                  <w:b w:val="false"/>
                  <w:color w:val="0000FF"/>
                  <w:sz w:val="20"/>
                  <w:u w:val="single"/>
                </w:rPr>
                <w:t>Incorporated by reference to TransDigm Group Incorporated’s Form 8-K, filed August 24, 2017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8">
              <w:r>
                <w:rPr>
                  <w:rStyle w:val="InternetLink"/>
                  <w:rFonts w:ascii="Times New Roman;serif" w:hAnsi="Times New Roman;serif"/>
                  <w:b w:val="false"/>
                  <w:color w:val="000080"/>
                  <w:sz w:val="20"/>
                  <w:u w:val="single"/>
                </w:rPr>
                <w:t>10.3</w:t>
              </w:r>
            </w:hyperlink>
            <w:hyperlink r:id="rId189">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4 to the Second Amended and Restated Credit Agreement, dated as of November 30, 2017, among TransDigm Inc., as borrower, TransDigm Group Incorporated, as guarantor, the subsidiary guarantors party thereto, Credit Suisse AG, as administrative agent and collateral agent, and the other agents and lenders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0">
              <w:r>
                <w:rPr>
                  <w:rStyle w:val="InternetLink"/>
                  <w:rFonts w:ascii="Times New Roman;serif" w:hAnsi="Times New Roman;serif"/>
                  <w:b w:val="false"/>
                  <w:color w:val="0000FF"/>
                  <w:sz w:val="20"/>
                  <w:u w:val="single"/>
                </w:rPr>
                <w:t>Incorporated by reference to TransDigm Group Incorporated’s Form 8-K, filed December 6, 2017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Times New Roman;serif" w:hAnsi="Times New Roman;serif"/>
                  <w:b w:val="false"/>
                  <w:color w:val="000080"/>
                  <w:sz w:val="20"/>
                  <w:u w:val="single"/>
                </w:rPr>
                <w:t>10.</w:t>
              </w:r>
            </w:hyperlink>
            <w:hyperlink r:id="rId192">
              <w:r>
                <w:rPr>
                  <w:rStyle w:val="InternetLink"/>
                  <w:rFonts w:ascii="Times New Roman;serif" w:hAnsi="Times New Roman;serif"/>
                  <w:b w:val="false"/>
                  <w:color w:val="000080"/>
                  <w:sz w:val="20"/>
                  <w:u w:val="single"/>
                </w:rPr>
                <w:t>3</w:t>
              </w:r>
            </w:hyperlink>
            <w:hyperlink r:id="rId193">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Refinancing Facility Agreement to the Second Amended and Restated Credit Agreement, dated as of February 22, 2018, among TransDigm Inc., as borrower, TransDigm Group Incorporated, as guarantor, the subsidiary guarantors party thereto, Credit Suisse AG, as administrative agent and collateral agent, and the other agents and lenders named therein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4">
              <w:r>
                <w:rPr>
                  <w:rStyle w:val="InternetLink"/>
                  <w:rFonts w:ascii="Times New Roman;serif" w:hAnsi="Times New Roman;serif"/>
                  <w:b w:val="false"/>
                  <w:color w:val="0000FF"/>
                  <w:sz w:val="20"/>
                  <w:u w:val="single"/>
                </w:rPr>
                <w:t>Incorporated by reference to TransDigm Group Incorporated’s Form 8-K, filed February 22, 2018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Times New Roman;serif" w:hAnsi="Times New Roman;serif"/>
                  <w:b w:val="false"/>
                  <w:color w:val="000080"/>
                  <w:sz w:val="20"/>
                  <w:u w:val="single"/>
                </w:rPr>
                <w:t>10.</w:t>
              </w:r>
            </w:hyperlink>
            <w:hyperlink r:id="rId196">
              <w:r>
                <w:rPr>
                  <w:rStyle w:val="InternetLink"/>
                  <w:rFonts w:ascii="Times New Roman;serif" w:hAnsi="Times New Roman;serif"/>
                  <w:b w:val="false"/>
                  <w:color w:val="000080"/>
                  <w:sz w:val="20"/>
                  <w:u w:val="single"/>
                </w:rPr>
                <w:t>3</w:t>
              </w:r>
            </w:hyperlink>
            <w:hyperlink r:id="rId197">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5, Incremental Assumption Agreement and Refinancing Facility Agreement, dated as of May 30, 2018, relating to the Second Amended and Restated Credit Agreement, dated as of June 4, 2014, among TransDigm Inc., TransDigm Group Incorporated, each subsidiary of TransDigm Inc. party thereto, the lenders party thereto, and Credit Suisse AG,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8">
              <w:r>
                <w:rPr>
                  <w:rStyle w:val="InternetLink"/>
                  <w:rFonts w:ascii="Times New Roman;serif" w:hAnsi="Times New Roman;serif"/>
                  <w:b w:val="false"/>
                  <w:color w:val="0000FF"/>
                  <w:sz w:val="20"/>
                  <w:u w:val="single"/>
                </w:rPr>
                <w:t>Incorporated by reference to TransDigm Group Incorporated’s Form 8-K, filed May 31, 2018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9">
              <w:r>
                <w:rPr>
                  <w:rStyle w:val="InternetLink"/>
                  <w:rFonts w:ascii="Times New Roman;serif" w:hAnsi="Times New Roman;serif"/>
                  <w:b w:val="false"/>
                  <w:color w:val="000080"/>
                  <w:sz w:val="20"/>
                  <w:u w:val="single"/>
                </w:rPr>
                <w:t>10.</w:t>
              </w:r>
            </w:hyperlink>
            <w:hyperlink r:id="rId200">
              <w:r>
                <w:rPr>
                  <w:rStyle w:val="InternetLink"/>
                  <w:rFonts w:ascii="Times New Roman;serif" w:hAnsi="Times New Roman;serif"/>
                  <w:b w:val="false"/>
                  <w:color w:val="000080"/>
                  <w:sz w:val="20"/>
                  <w:u w:val="single"/>
                </w:rPr>
                <w:t>39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6 and Incremental Revolving Credit Assumption Agreement, dated as of March 14, 2019, to the Second Amended and Restated Credit Agreement, dated as of June 4, 2014, among TransDigm Inc., TransDigm Group Incorporated, each subsidiary of TransDigm Inc. party thereto, the lenders party thereto, and Credit Suisse AG,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1">
              <w:r>
                <w:rPr>
                  <w:rStyle w:val="InternetLink"/>
                  <w:rFonts w:ascii="Times New Roman;serif" w:hAnsi="Times New Roman;serif"/>
                  <w:b w:val="false"/>
                  <w:color w:val="0000FF"/>
                  <w:sz w:val="20"/>
                  <w:u w:val="single"/>
                </w:rPr>
                <w:t>Incorporated by reference to TransDigm Group Incorporated’s Form 8-K, filed March 14, 2019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2">
              <w:r>
                <w:rPr>
                  <w:rStyle w:val="InternetLink"/>
                  <w:rFonts w:ascii="Times New Roman;serif" w:hAnsi="Times New Roman;serif"/>
                  <w:b w:val="false"/>
                  <w:color w:val="000080"/>
                  <w:sz w:val="20"/>
                  <w:u w:val="single"/>
                </w:rPr>
                <w:t>10.4</w:t>
              </w:r>
            </w:hyperlink>
            <w:hyperlink r:id="rId203">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7 and Refinancing Facility Agreement, dated as of February 6, 2020, to the Second Amended and Restated Credit Agreement, dated as of June 4, 2014, among TransDigm Inc., TransDigm Group Incorporated, each subsidiary of TransDigm Inc. party thereto, the lenders party thereto, and Credit Suisse AG,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4">
              <w:r>
                <w:rPr>
                  <w:rStyle w:val="InternetLink"/>
                  <w:rFonts w:ascii="Times New Roman;serif" w:hAnsi="Times New Roman;serif"/>
                  <w:b w:val="false"/>
                  <w:color w:val="0000FF"/>
                  <w:sz w:val="20"/>
                  <w:u w:val="single"/>
                </w:rPr>
                <w:t>Incorporated by reference to TransDigm Group Incorporated’s Form 8-K, filed February 6, 2020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014"/>
        <w:gridCol w:w="2014"/>
        <w:gridCol w:w="2033"/>
        <w:gridCol w:w="109"/>
        <w:gridCol w:w="109"/>
        <w:gridCol w:w="109"/>
        <w:gridCol w:w="818"/>
        <w:gridCol w:w="688"/>
        <w:gridCol w:w="97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5">
              <w:r>
                <w:rPr>
                  <w:rStyle w:val="InternetLink"/>
                  <w:rFonts w:ascii="Times New Roman;serif" w:hAnsi="Times New Roman;serif"/>
                  <w:b w:val="false"/>
                  <w:color w:val="000080"/>
                  <w:sz w:val="20"/>
                  <w:u w:val="single"/>
                </w:rPr>
                <w:t>10.4</w:t>
              </w:r>
            </w:hyperlink>
            <w:hyperlink r:id="rId206">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8 and Loan Modification Agreement, dated as of May 24, 2021, to the Second Amended and Restated Credit Agreement, dated as of June 4, 2014, among TransDigm Inc., TransDigm Group Incorporated, each subsidiary of TransDigm Inc. party thereto, the lenders party thereto, and Credit Suisse AG,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7">
              <w:r>
                <w:rPr>
                  <w:rStyle w:val="InternetLink"/>
                  <w:rFonts w:ascii="Times New Roman;serif" w:hAnsi="Times New Roman;serif"/>
                  <w:b w:val="false"/>
                  <w:color w:val="0000FF"/>
                  <w:sz w:val="20"/>
                  <w:u w:val="single"/>
                </w:rPr>
                <w:t>Incorporated by reference to TransDigm Group Incorporated’s Form 8-K, filed May 25,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8">
              <w:r>
                <w:rPr>
                  <w:rStyle w:val="InternetLink"/>
                  <w:rFonts w:ascii="Times New Roman;serif" w:hAnsi="Times New Roman;serif"/>
                  <w:b w:val="false"/>
                  <w:color w:val="000080"/>
                  <w:sz w:val="20"/>
                  <w:u w:val="single"/>
                </w:rPr>
                <w:t>10.4</w:t>
              </w:r>
            </w:hyperlink>
            <w:hyperlink r:id="rId209">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9 and Incremental Revolving Credit Assumption Agreement, dated as of December 29, 2021, to the Second Amended and Restated Credit Agreement, dated as of June 4, 2014, among TransDigm Inc., TransDigm Group Incorporated, each subsidiary of TransDigm Inc. party thereto, the lenders party thereto, and Credit Suisse AG,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0">
              <w:r>
                <w:rPr>
                  <w:rStyle w:val="InternetLink"/>
                  <w:rFonts w:ascii="Times New Roman;serif" w:hAnsi="Times New Roman;serif"/>
                  <w:b w:val="false"/>
                  <w:color w:val="0000FF"/>
                  <w:sz w:val="20"/>
                  <w:u w:val="single"/>
                </w:rPr>
                <w:t>Incorporated by reference to TransDigm Group Incorporated's Form 8-K, filed December 30,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1">
              <w:r>
                <w:rPr>
                  <w:rStyle w:val="InternetLink"/>
                  <w:rFonts w:ascii="Times New Roman;serif" w:hAnsi="Times New Roman;serif"/>
                  <w:b w:val="false"/>
                  <w:color w:val="000080"/>
                  <w:sz w:val="20"/>
                  <w:u w:val="single"/>
                </w:rPr>
                <w:t>10.4</w:t>
              </w:r>
            </w:hyperlink>
            <w:hyperlink r:id="rId212">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10, Loan Modification Agreement and Refinancing Facility Agreement, dated December 14, 2022, to the Second Amended and Restated Credit Agreement, dated June 4, 2014, among TransDigm Inc., TransDigm Group Incorporated, each subsidiary of TransDigm Inc. party thereto, the lenders party thereto, and Goldman Sachs Bank USA, as administrative agent and collateral agent (as successor to Credit Suisse AG)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3">
              <w:r>
                <w:rPr>
                  <w:rStyle w:val="InternetLink"/>
                  <w:rFonts w:ascii="Times New Roman;serif" w:hAnsi="Times New Roman;serif"/>
                  <w:b w:val="false"/>
                  <w:color w:val="0000FF"/>
                  <w:sz w:val="20"/>
                  <w:u w:val="single"/>
                </w:rPr>
                <w:t>Incorporated by reference to TransDigm Group Incorporated's Form 8-K, filed December 14, 2022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4">
              <w:r>
                <w:rPr>
                  <w:rStyle w:val="InternetLink"/>
                  <w:rFonts w:ascii="Times New Roman;serif" w:hAnsi="Times New Roman;serif"/>
                  <w:b w:val="false"/>
                  <w:color w:val="000080"/>
                  <w:sz w:val="20"/>
                  <w:u w:val="single"/>
                </w:rPr>
                <w:t>10.4</w:t>
              </w:r>
            </w:hyperlink>
            <w:hyperlink r:id="rId215">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11, Loan Modification Agreement and Refinancing Facility Agreement, dated February 24, 2023,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6">
              <w:r>
                <w:rPr>
                  <w:rStyle w:val="InternetLink"/>
                  <w:rFonts w:ascii="Times New Roman;serif" w:hAnsi="Times New Roman;serif"/>
                  <w:b w:val="false"/>
                  <w:color w:val="0000FF"/>
                  <w:sz w:val="20"/>
                  <w:u w:val="single"/>
                </w:rPr>
                <w:t>Incorporated by reference to TransDigm Group Incorporated's Form 8-K, filed February 24,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7">
              <w:r>
                <w:rPr>
                  <w:rStyle w:val="InternetLink"/>
                  <w:rFonts w:ascii="Times New Roman;serif" w:hAnsi="Times New Roman;serif"/>
                  <w:b w:val="false"/>
                  <w:color w:val="000080"/>
                  <w:sz w:val="20"/>
                  <w:u w:val="single"/>
                </w:rPr>
                <w:t>10.4</w:t>
              </w:r>
            </w:hyperlink>
            <w:hyperlink r:id="rId218">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12 to the Second Amended and Restated Credit Agreement, dated June 16, 2023,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9">
              <w:r>
                <w:rPr>
                  <w:rStyle w:val="InternetLink"/>
                  <w:rFonts w:ascii="Times New Roman;serif" w:hAnsi="Times New Roman;serif"/>
                  <w:b w:val="false"/>
                  <w:color w:val="0000FF"/>
                  <w:sz w:val="20"/>
                  <w:u w:val="single"/>
                </w:rPr>
                <w:t>Incorporated by reference to TransDigm Group Incorporated’s Form 10-Q, filed August 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0">
              <w:r>
                <w:rPr>
                  <w:rStyle w:val="InternetLink"/>
                  <w:rFonts w:ascii="Times New Roman;serif" w:hAnsi="Times New Roman;serif"/>
                  <w:b w:val="false"/>
                  <w:color w:val="000080"/>
                  <w:sz w:val="20"/>
                  <w:u w:val="single"/>
                </w:rPr>
                <w:t>10.4</w:t>
              </w:r>
            </w:hyperlink>
            <w:hyperlink r:id="rId221">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13 and Incremental Term Loan Assumption Agreement, dated November 28, 2023,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2">
              <w:r>
                <w:rPr>
                  <w:rStyle w:val="InternetLink"/>
                  <w:rFonts w:ascii="Times New Roman;serif" w:hAnsi="Times New Roman;serif"/>
                  <w:b w:val="false"/>
                  <w:color w:val="0000FF"/>
                  <w:sz w:val="20"/>
                  <w:u w:val="single"/>
                </w:rPr>
                <w:t>Incorporated by reference to TransDigm Group Incorporated’s Form 8-K, filed November 28,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3">
              <w:r>
                <w:rPr>
                  <w:rStyle w:val="InternetLink"/>
                  <w:rFonts w:ascii="Times New Roman;serif" w:hAnsi="Times New Roman;serif"/>
                  <w:b w:val="false"/>
                  <w:color w:val="000080"/>
                  <w:sz w:val="20"/>
                  <w:u w:val="single"/>
                </w:rPr>
                <w:t>10.</w:t>
              </w:r>
            </w:hyperlink>
            <w:hyperlink r:id="rId224">
              <w:r>
                <w:rPr>
                  <w:rStyle w:val="InternetLink"/>
                  <w:rFonts w:ascii="Times New Roman;serif" w:hAnsi="Times New Roman;serif"/>
                  <w:b w:val="false"/>
                  <w:color w:val="000080"/>
                  <w:sz w:val="20"/>
                  <w:u w:val="single"/>
                </w:rPr>
                <w:t>4</w:t>
              </w:r>
            </w:hyperlink>
            <w:hyperlink r:id="rId225">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14 and Incremental Revolving Credit Assumption Agreement, dated February 27, 2024,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6">
              <w:r>
                <w:rPr>
                  <w:rStyle w:val="InternetLink"/>
                  <w:rFonts w:ascii="Times New Roman;serif" w:hAnsi="Times New Roman;serif"/>
                  <w:b w:val="false"/>
                  <w:color w:val="0000FF"/>
                  <w:sz w:val="20"/>
                  <w:u w:val="single"/>
                </w:rPr>
                <w:t>Incorporated by reference to TransDigm Group Incorporated’s Form 8-K, filed February 28, 2024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152"/>
        <w:gridCol w:w="2152"/>
        <w:gridCol w:w="2173"/>
        <w:gridCol w:w="109"/>
        <w:gridCol w:w="109"/>
        <w:gridCol w:w="109"/>
        <w:gridCol w:w="702"/>
        <w:gridCol w:w="565"/>
        <w:gridCol w:w="80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7">
              <w:r>
                <w:rPr>
                  <w:rStyle w:val="InternetLink"/>
                  <w:rFonts w:ascii="Times New Roman;serif" w:hAnsi="Times New Roman;serif"/>
                  <w:b w:val="false"/>
                  <w:color w:val="000080"/>
                  <w:sz w:val="20"/>
                  <w:u w:val="single"/>
                </w:rPr>
                <w:t>10.</w:t>
              </w:r>
            </w:hyperlink>
            <w:hyperlink r:id="rId228">
              <w:r>
                <w:rPr>
                  <w:rStyle w:val="InternetLink"/>
                  <w:rFonts w:ascii="Times New Roman;serif" w:hAnsi="Times New Roman;serif"/>
                  <w:b w:val="false"/>
                  <w:color w:val="000080"/>
                  <w:sz w:val="20"/>
                  <w:u w:val="single"/>
                </w:rPr>
                <w:t>4</w:t>
              </w:r>
            </w:hyperlink>
            <w:hyperlink r:id="rId229">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15, Loan Modification Agreement and Refinancing Facility Agreement, dated March 22, 2024, relating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 and Amendment, dated March 22, 2024, relating to the Guarantee and Collateral Agreement, dated June 23, 2006,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0">
              <w:r>
                <w:rPr>
                  <w:rStyle w:val="InternetLink"/>
                  <w:rFonts w:ascii="Times New Roman;serif" w:hAnsi="Times New Roman;serif"/>
                  <w:b w:val="false"/>
                  <w:color w:val="0000FF"/>
                  <w:sz w:val="20"/>
                  <w:u w:val="single"/>
                </w:rPr>
                <w:t>Incorporated by reference to TransDigm Group Incorporated’s Form 8-K, filed March 22,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Times New Roman;serif" w:hAnsi="Times New Roman;serif"/>
                  <w:b w:val="false"/>
                  <w:color w:val="000080"/>
                  <w:sz w:val="20"/>
                  <w:u w:val="single"/>
                </w:rPr>
                <w:t>10.</w:t>
              </w:r>
            </w:hyperlink>
            <w:hyperlink r:id="rId232">
              <w:r>
                <w:rPr>
                  <w:rStyle w:val="InternetLink"/>
                  <w:rFonts w:ascii="Times New Roman;serif" w:hAnsi="Times New Roman;serif"/>
                  <w:b w:val="false"/>
                  <w:color w:val="000080"/>
                  <w:sz w:val="20"/>
                  <w:u w:val="single"/>
                </w:rPr>
                <w:t>49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16, Loan Modification Agreement and Refinancing Facility Agreement, dated June 4, 2024,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3">
              <w:r>
                <w:rPr>
                  <w:rStyle w:val="InternetLink"/>
                  <w:rFonts w:ascii="Times New Roman;serif" w:hAnsi="Times New Roman;serif"/>
                  <w:b w:val="false"/>
                  <w:color w:val="0000FF"/>
                  <w:sz w:val="20"/>
                  <w:u w:val="single"/>
                </w:rPr>
                <w:t>Incorporated by reference to TransDigm Group Incorporated’s Form 8-K, filed June 4,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Times New Roman;serif" w:hAnsi="Times New Roman;serif"/>
                  <w:b w:val="false"/>
                  <w:color w:val="000080"/>
                  <w:sz w:val="20"/>
                  <w:u w:val="single"/>
                </w:rPr>
                <w:t>10.5</w:t>
              </w:r>
            </w:hyperlink>
            <w:hyperlink r:id="rId235">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17 and Incremental Revolving Credit Assumption Agreement, dated September 19, 2024,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6">
              <w:r>
                <w:rPr>
                  <w:rStyle w:val="InternetLink"/>
                  <w:rFonts w:ascii="Times New Roman;serif" w:hAnsi="Times New Roman;serif"/>
                  <w:b w:val="false"/>
                  <w:color w:val="0000FF"/>
                  <w:sz w:val="20"/>
                  <w:u w:val="single"/>
                </w:rPr>
                <w:t>Incorporated by reference to TransDigm Group Incorporated’s Form 8-K, filed September 20,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7">
              <w:r>
                <w:rPr>
                  <w:rStyle w:val="InternetLink"/>
                  <w:rFonts w:ascii="Times New Roman;serif" w:hAnsi="Times New Roman;serif"/>
                  <w:b w:val="false"/>
                  <w:color w:val="000080"/>
                  <w:sz w:val="20"/>
                  <w:u w:val="single"/>
                </w:rPr>
                <w:t>10.5</w:t>
              </w:r>
            </w:hyperlink>
            <w:hyperlink r:id="rId238">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18 and Incremental Term Loan Assumption Agreement, dated as of August 19, 2025, to the Second Amended and Restated Credit Agreement, dated June 4, 2014, among TransDigm Inc., TransDigm Group Incorporated, each subsidiary of TransDigm Inc. party thereto, the lenders party thereto, and Goldman Sachs Bank USA, as administrative agent and collateral agent for the lenders**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39">
              <w:r>
                <w:rPr>
                  <w:rStyle w:val="InternetLink"/>
                  <w:rFonts w:ascii="Times New Roman;serif" w:hAnsi="Times New Roman;serif"/>
                  <w:b w:val="false"/>
                  <w:color w:val="0000FF"/>
                  <w:sz w:val="20"/>
                  <w:u w:val="single"/>
                </w:rPr>
                <w:t>Incorporated by reference to TransDigm Group Incorporated’s Form 8-K, filed August 20,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0">
              <w:r>
                <w:rPr>
                  <w:rStyle w:val="InternetLink"/>
                  <w:rFonts w:ascii="Times New Roman;serif" w:hAnsi="Times New Roman;serif"/>
                  <w:b w:val="false"/>
                  <w:color w:val="000080"/>
                  <w:sz w:val="20"/>
                  <w:u w:val="single"/>
                </w:rPr>
                <w:t>10.5</w:t>
              </w:r>
            </w:hyperlink>
            <w:hyperlink r:id="rId241">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Guarantee and Collateral Agreement, dated as of June 23, 2006, as amended and restated as of December 6, 2010, as further amended and restated as of February 14, 2011 and February 28, 2013, among TransDigm Inc., TransDigm Group Incorporated, the subsidiaries of TransDigm Inc. named therein and Credit Suisse AG as administrative agent and collateral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2">
              <w:r>
                <w:rPr>
                  <w:rStyle w:val="InternetLink"/>
                  <w:rFonts w:ascii="Times New Roman;serif" w:hAnsi="Times New Roman;serif"/>
                  <w:b w:val="false"/>
                  <w:color w:val="0000FF"/>
                  <w:sz w:val="20"/>
                  <w:u w:val="single"/>
                </w:rPr>
                <w:t>Incorporated by reference to TransDigm Group Incorporated’s Form 8-K, filed March 6, 2013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Times New Roman;serif" w:hAnsi="Times New Roman;serif"/>
                  <w:b w:val="false"/>
                  <w:color w:val="000080"/>
                  <w:sz w:val="20"/>
                  <w:u w:val="single"/>
                </w:rPr>
                <w:t>10.5</w:t>
              </w:r>
            </w:hyperlink>
            <w:hyperlink r:id="rId244">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Receivables Purchase Agreement, dated October 21, 2013, among TransDigm Receivables LLC, TransDigm Inc., PNC Bank, National Association as a Purchaser and a Purchaser Agent, the various other Purchasers and Purchaser Agents from time to time party thereto, and PNC National Association as Administrator**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5">
              <w:r>
                <w:rPr>
                  <w:rStyle w:val="InternetLink"/>
                  <w:rFonts w:ascii="Times New Roman;serif" w:hAnsi="Times New Roman;serif"/>
                  <w:b w:val="false"/>
                  <w:color w:val="0000FF"/>
                  <w:sz w:val="20"/>
                  <w:u w:val="single"/>
                </w:rPr>
                <w:t>Incorporated by reference to TransDigm Group Incorporated’s Form 10-Q, filed February 5, 2014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6">
              <w:r>
                <w:rPr>
                  <w:rStyle w:val="InternetLink"/>
                  <w:rFonts w:ascii="Times New Roman;serif" w:hAnsi="Times New Roman;serif"/>
                  <w:b w:val="false"/>
                  <w:color w:val="000080"/>
                  <w:sz w:val="20"/>
                  <w:u w:val="single"/>
                </w:rPr>
                <w:t>10.5</w:t>
              </w:r>
            </w:hyperlink>
            <w:hyperlink r:id="rId247">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Amendment to the Receivables Purchase Agreement, dated March 25, 2014, among TransDigm Receivables LLC, TransDigm Inc., PNC Bank, National Association as a Purchaser, Purchaser Agent for its Purchaser Group and as Administrator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48">
              <w:r>
                <w:rPr>
                  <w:rStyle w:val="InternetLink"/>
                  <w:rFonts w:ascii="Times New Roman;serif" w:hAnsi="Times New Roman;serif"/>
                  <w:b w:val="false"/>
                  <w:color w:val="0000FF"/>
                  <w:sz w:val="20"/>
                  <w:u w:val="single"/>
                </w:rPr>
                <w:t>Incorporated by reference to TransDigm Group Incorporated’s Form 10-K, filed November 13, 2015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080"/>
        <w:gridCol w:w="2080"/>
        <w:gridCol w:w="2099"/>
        <w:gridCol w:w="109"/>
        <w:gridCol w:w="109"/>
        <w:gridCol w:w="109"/>
        <w:gridCol w:w="763"/>
        <w:gridCol w:w="630"/>
        <w:gridCol w:w="893"/>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9">
              <w:r>
                <w:rPr>
                  <w:rStyle w:val="InternetLink"/>
                  <w:rFonts w:ascii="Times New Roman;serif" w:hAnsi="Times New Roman;serif"/>
                  <w:b w:val="false"/>
                  <w:color w:val="000080"/>
                  <w:sz w:val="20"/>
                  <w:u w:val="single"/>
                </w:rPr>
                <w:t>10.5</w:t>
              </w:r>
            </w:hyperlink>
            <w:hyperlink r:id="rId250">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Amendment to the Receivables Purchase Agreement, dated August 8, 2014, among TransDigm Receivables LLC, TransDigm Inc., PNC Bank, National Association, as a Committed Purchaser, as a Purchaser Agent for its Purchaser Group and Administrator, and Credit Agricole Corporate and Investment Bank, as a Committed Purchaser and as a Purchase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1">
              <w:r>
                <w:rPr>
                  <w:rStyle w:val="InternetLink"/>
                  <w:rFonts w:ascii="Times New Roman;serif" w:hAnsi="Times New Roman;serif"/>
                  <w:b w:val="false"/>
                  <w:color w:val="0000FF"/>
                  <w:sz w:val="20"/>
                  <w:u w:val="single"/>
                </w:rPr>
                <w:t>Incorporated by reference to TransDigm Group Incorporated’s Form 10-K, filed November 13, 2015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2">
              <w:r>
                <w:rPr>
                  <w:rStyle w:val="InternetLink"/>
                  <w:rFonts w:ascii="Times New Roman;serif" w:hAnsi="Times New Roman;serif"/>
                  <w:b w:val="false"/>
                  <w:color w:val="000080"/>
                  <w:sz w:val="20"/>
                  <w:u w:val="single"/>
                </w:rPr>
                <w:t>10.5</w:t>
              </w:r>
            </w:hyperlink>
            <w:hyperlink r:id="rId253">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Third Amendment to the Receivables Purchase Agreement, dated March 20, 2015, among TransDigm Receivables LLC, TransDigm Inc., PNC Bank, National Association, as a Committed Purchaser, as a Purchaser Agent for its Purchaser Group and Administrator, Atlantic Asset Securitization LLC, as a Conduit Purchaser, and Credit Agricole Corporate and Investment Bank, as a Committed Purchaser and as a Purchase Agent for its and Atlantic’s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4">
              <w:r>
                <w:rPr>
                  <w:rStyle w:val="InternetLink"/>
                  <w:rFonts w:ascii="Times New Roman;serif" w:hAnsi="Times New Roman;serif"/>
                  <w:b w:val="false"/>
                  <w:color w:val="0000FF"/>
                  <w:sz w:val="20"/>
                  <w:u w:val="single"/>
                </w:rPr>
                <w:t>Incorporated by reference to TransDigm Group Incorporated’s Form 10-K, filed November 13, 2015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5">
              <w:r>
                <w:rPr>
                  <w:rStyle w:val="InternetLink"/>
                  <w:rFonts w:ascii="Times New Roman;serif" w:hAnsi="Times New Roman;serif"/>
                  <w:b w:val="false"/>
                  <w:color w:val="000080"/>
                  <w:sz w:val="20"/>
                  <w:u w:val="single"/>
                </w:rPr>
                <w:t>10.5</w:t>
              </w:r>
            </w:hyperlink>
            <w:hyperlink r:id="rId256">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Fourth Amendment to the Receivables Purchase Agreement dated as of August 4, 2015, among TransDigm Receivables LLC, TransDigm Inc., PNC Bank, National Association, as a Committed Purchaser, as a Purchaser Agent for its Purchaser Group and Administrator, Atlantic Asset Securitization LLC, as a Conduit Purchaser, and Credit Agricole Corporate and Investment Bank, as a Committed Purchaser and as a Purchaser Agent for its and Atlantic’s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57">
              <w:r>
                <w:rPr>
                  <w:rStyle w:val="InternetLink"/>
                  <w:rFonts w:ascii="Times New Roman;serif" w:hAnsi="Times New Roman;serif"/>
                  <w:b w:val="false"/>
                  <w:color w:val="0000FF"/>
                  <w:sz w:val="20"/>
                  <w:u w:val="single"/>
                </w:rPr>
                <w:t>Incorporated by reference to TransDigm Group Incorporated’s Form 8-K, filed August 7, 2015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8">
              <w:r>
                <w:rPr>
                  <w:rStyle w:val="InternetLink"/>
                  <w:rFonts w:ascii="Times New Roman;serif" w:hAnsi="Times New Roman;serif"/>
                  <w:b w:val="false"/>
                  <w:color w:val="000080"/>
                  <w:sz w:val="20"/>
                  <w:u w:val="single"/>
                </w:rPr>
                <w:t>10.</w:t>
              </w:r>
            </w:hyperlink>
            <w:hyperlink r:id="rId259">
              <w:r>
                <w:rPr>
                  <w:rStyle w:val="InternetLink"/>
                  <w:rFonts w:ascii="Times New Roman;serif" w:hAnsi="Times New Roman;serif"/>
                  <w:b w:val="false"/>
                  <w:color w:val="000080"/>
                  <w:sz w:val="20"/>
                  <w:u w:val="single"/>
                </w:rPr>
                <w:t>5</w:t>
              </w:r>
            </w:hyperlink>
            <w:hyperlink r:id="rId260">
              <w:r>
                <w:rPr>
                  <w:rStyle w:val="InternetLink"/>
                  <w:rFonts w:ascii="Times New Roman;serif" w:hAnsi="Times New Roman;serif"/>
                  <w:b w:val="false"/>
                  <w:color w:val="00008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Ninth Amendment to the Receivables Purchase Agreement dated as of August 1, 2017, among TransDigm Receivables LLC, TransDigm Inc., PNC Bank, National Association, as a Committed Purchaser, as Purchaser Agent for its Purchaser Group and as Administrator, Atlantic Asset Securitization LLC, as a Conduit Purchaser, Credit Agricole Corporate and Investment Bank, as a Committed Purchaser and as a Purchaser Agent for its and Atlantic’s Purchaser Group,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1">
              <w:r>
                <w:rPr>
                  <w:rStyle w:val="InternetLink"/>
                  <w:rFonts w:ascii="Times New Roman;serif" w:hAnsi="Times New Roman;serif"/>
                  <w:b w:val="false"/>
                  <w:color w:val="0000FF"/>
                  <w:sz w:val="20"/>
                  <w:u w:val="single"/>
                </w:rPr>
                <w:t>Incorporated by reference to TransDigm Group Incorporated’s Form 10-K, filed November 13, 2017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2">
              <w:r>
                <w:rPr>
                  <w:rStyle w:val="InternetLink"/>
                  <w:rFonts w:ascii="Times New Roman;serif" w:hAnsi="Times New Roman;serif"/>
                  <w:b w:val="false"/>
                  <w:color w:val="000080"/>
                  <w:sz w:val="20"/>
                  <w:u w:val="single"/>
                </w:rPr>
                <w:t>10.</w:t>
              </w:r>
            </w:hyperlink>
            <w:hyperlink r:id="rId263">
              <w:r>
                <w:rPr>
                  <w:rStyle w:val="InternetLink"/>
                  <w:rFonts w:ascii="Times New Roman;serif" w:hAnsi="Times New Roman;serif"/>
                  <w:b w:val="false"/>
                  <w:color w:val="000080"/>
                  <w:sz w:val="20"/>
                  <w:u w:val="single"/>
                </w:rPr>
                <w:t>59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Tenth Amendment to the Receivables Purchase Agreement dated as of July 31, 2018, among TransDigm Receivables LLC, TransDigm Inc., PNC Bank, National Association, as a Committed Purchaser, as Purchaser Agent for its Purchaser Group and as Administrator, Atlantic Asset Securitization LLC, as a Conduit Purchaser, Credit Agricole Corporate and Investment Bank, as a Committed Purchaser and as a Purchaser Agent for its and Atlantic’s Purchaser Group,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4">
              <w:r>
                <w:rPr>
                  <w:rStyle w:val="InternetLink"/>
                  <w:rFonts w:ascii="Times New Roman;serif" w:hAnsi="Times New Roman;serif"/>
                  <w:b w:val="false"/>
                  <w:color w:val="0000FF"/>
                  <w:sz w:val="20"/>
                  <w:u w:val="single"/>
                </w:rPr>
                <w:t>Incorporated by reference to TransDigm Group Incorporated’s Form 10-Q, filed August 8, 2018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5">
              <w:r>
                <w:rPr>
                  <w:rStyle w:val="InternetLink"/>
                  <w:rFonts w:ascii="Times New Roman;serif" w:hAnsi="Times New Roman;serif"/>
                  <w:b w:val="false"/>
                  <w:color w:val="000080"/>
                  <w:sz w:val="20"/>
                  <w:u w:val="single"/>
                </w:rPr>
                <w:t>10.6</w:t>
              </w:r>
            </w:hyperlink>
            <w:hyperlink r:id="rId266">
              <w:r>
                <w:rPr>
                  <w:rStyle w:val="InternetLink"/>
                  <w:rFonts w:ascii="Times New Roman;serif" w:hAnsi="Times New Roman;serif"/>
                  <w:b w:val="false"/>
                  <w:color w:val="000080"/>
                  <w:sz w:val="20"/>
                  <w:u w:val="single"/>
                </w:rPr>
                <w:t>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Eleventh Amendment to the Receivables Purchase Agreement dated as of July 30, 2019, among TransDigm Receivables LLC, TransDigm Inc., PNC Bank, National Association, as a Committed Purchaser, as Purchaser Agent for its Purchaser Group and as Administrator, Atlantic Asset Securitization LLC, as a Conduit Purchaser, Credit Agricole Corporate and Investment Bank, as a Committed Purchaser and as a Purchaser Agent for its and Atlantic’s Purchaser Group,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7">
              <w:r>
                <w:rPr>
                  <w:rStyle w:val="InternetLink"/>
                  <w:rFonts w:ascii="Times New Roman;serif" w:hAnsi="Times New Roman;serif"/>
                  <w:b w:val="false"/>
                  <w:color w:val="0000FF"/>
                  <w:sz w:val="20"/>
                  <w:u w:val="single"/>
                </w:rPr>
                <w:t>Incorporated by reference to TransDigm Group Incorporated’s Form 10-K, filed November 19, 2019 (File No. 001-32833)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137"/>
        <w:gridCol w:w="2057"/>
        <w:gridCol w:w="2076"/>
        <w:gridCol w:w="109"/>
        <w:gridCol w:w="109"/>
        <w:gridCol w:w="109"/>
        <w:gridCol w:w="760"/>
        <w:gridCol w:w="627"/>
        <w:gridCol w:w="88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8">
              <w:r>
                <w:rPr>
                  <w:rStyle w:val="InternetLink"/>
                  <w:rFonts w:ascii="Times New Roman;serif" w:hAnsi="Times New Roman;serif"/>
                  <w:b w:val="false"/>
                  <w:color w:val="000080"/>
                  <w:sz w:val="20"/>
                  <w:u w:val="single"/>
                </w:rPr>
                <w:t>10.6</w:t>
              </w:r>
            </w:hyperlink>
            <w:hyperlink r:id="rId269">
              <w:r>
                <w:rPr>
                  <w:rStyle w:val="InternetLink"/>
                  <w:rFonts w:ascii="Times New Roman;serif" w:hAnsi="Times New Roman;serif"/>
                  <w:b w:val="false"/>
                  <w:color w:val="000080"/>
                  <w:sz w:val="20"/>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Twelfth Amendment to the Receivables Purchase Agreement dated as of July 22, 2020, among TransDigm Receivables LLC, TransDigm Inc., PNC Bank, National Association, as a Committed Purchaser, as Purchaser Agent for its Purchaser Group and as Administrator, Atlantic Asset Securitization LLC, as a Conduit Purchaser, Credit Agricole Corporate and Investment Bank, as a Committed Purchaser and as a Purchaser Agent for its and Atlantic’s Purchaser Group,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0">
              <w:r>
                <w:rPr>
                  <w:rStyle w:val="InternetLink"/>
                  <w:rFonts w:ascii="Times New Roman;serif" w:hAnsi="Times New Roman;serif"/>
                  <w:b w:val="false"/>
                  <w:color w:val="0000FF"/>
                  <w:sz w:val="20"/>
                  <w:u w:val="single"/>
                </w:rPr>
                <w:t>Incorporated by reference to TransDigm Group Incorporated’s Form 10-K, filed November 12, 2020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1">
              <w:r>
                <w:rPr>
                  <w:rStyle w:val="InternetLink"/>
                  <w:rFonts w:ascii="Times New Roman;serif" w:hAnsi="Times New Roman;serif"/>
                  <w:b w:val="false"/>
                  <w:color w:val="000080"/>
                  <w:sz w:val="20"/>
                  <w:u w:val="single"/>
                </w:rPr>
                <w:t>10.6</w:t>
              </w:r>
            </w:hyperlink>
            <w:hyperlink r:id="rId272">
              <w:r>
                <w:rPr>
                  <w:rStyle w:val="InternetLink"/>
                  <w:rFonts w:ascii="Times New Roman;serif" w:hAnsi="Times New Roman;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Thirteenth Amendment to the Receivables Purchase Agreement dated as of July 26, 2021, among TransDigm Receivables LLC, TransDigm Inc., PNC Bank, National Association, as a Committed Purchaser, as Purchaser Agent for its Purchaser Group and as Administrator,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3">
              <w:r>
                <w:rPr>
                  <w:rStyle w:val="InternetLink"/>
                  <w:rFonts w:ascii="Times New Roman;serif" w:hAnsi="Times New Roman;serif"/>
                  <w:b w:val="false"/>
                  <w:color w:val="0000FF"/>
                  <w:sz w:val="20"/>
                  <w:u w:val="single"/>
                </w:rPr>
                <w:t>Incorporated by reference to TransDigm Group Incorporated’s Form 10-K, filed November 16, 2021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4">
              <w:r>
                <w:rPr>
                  <w:rStyle w:val="InternetLink"/>
                  <w:rFonts w:ascii="Times New Roman;serif" w:hAnsi="Times New Roman;serif"/>
                  <w:b w:val="false"/>
                  <w:color w:val="000080"/>
                  <w:sz w:val="20"/>
                  <w:u w:val="single"/>
                </w:rPr>
                <w:t>10.6</w:t>
              </w:r>
            </w:hyperlink>
            <w:hyperlink r:id="rId275">
              <w:r>
                <w:rPr>
                  <w:rStyle w:val="InternetLink"/>
                  <w:rFonts w:ascii="Times New Roman;serif" w:hAnsi="Times New Roman;serif"/>
                  <w:b w:val="false"/>
                  <w:color w:val="000080"/>
                  <w:sz w:val="20"/>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Fourteenth Amendment to the Receivables Purchase Agreement dated as of July 25, 2022, among TransDigm Receivables LLC, TransDigm Inc., PNC Bank, National Association, as a Committed Purchaser, as Purchaser Agent for its Purchaser Group and as Administrator, and Fifth Third Bank,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6">
              <w:r>
                <w:rPr>
                  <w:rStyle w:val="InternetLink"/>
                  <w:rFonts w:ascii="Times New Roman;serif" w:hAnsi="Times New Roman;serif"/>
                  <w:b w:val="false"/>
                  <w:color w:val="0000FF"/>
                  <w:sz w:val="20"/>
                  <w:u w:val="single"/>
                </w:rPr>
                <w:t>Incorporated by reference to TransDigm Group Incorporated’s Form 10-K, filed November 10, 2022 (File No. 001-32833)</w:t>
              </w:r>
            </w:hyperlink>
          </w:p>
          <w:p>
            <w:pPr>
              <w:pStyle w:val="TableContents"/>
              <w:bidi w:val="0"/>
              <w:spacing w:before="0" w:after="0"/>
              <w:jc w:val="both"/>
              <w:rPr/>
            </w:pPr>
            <w:r>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7">
              <w:r>
                <w:rPr>
                  <w:rStyle w:val="InternetLink"/>
                  <w:rFonts w:ascii="Times New Roman;serif" w:hAnsi="Times New Roman;serif"/>
                  <w:b w:val="false"/>
                  <w:color w:val="000080"/>
                  <w:sz w:val="20"/>
                  <w:u w:val="single"/>
                </w:rPr>
                <w:t>10.6</w:t>
              </w:r>
            </w:hyperlink>
            <w:hyperlink r:id="rId278">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Fifteenth Amendment to the Receivables Purchase Agreement dated as of July 25, 2023, among TransDigm Receivables LLC, TransDigm Inc., PNC Bank, National Association, as a Committed Purchaser, as Purchaser Agent for its Purchaser Group and as Administrator, and Wells Fargo Bank, National Association,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9">
              <w:r>
                <w:rPr>
                  <w:rStyle w:val="InternetLink"/>
                  <w:rFonts w:ascii="Times New Roman;serif" w:hAnsi="Times New Roman;serif"/>
                  <w:b w:val="false"/>
                  <w:color w:val="0000FF"/>
                  <w:sz w:val="20"/>
                  <w:u w:val="single"/>
                </w:rPr>
                <w:t>Incorporated by reference to TransDigm Group Incorporated’s Form 10-Q, filed August 8,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0">
              <w:r>
                <w:rPr>
                  <w:rStyle w:val="InternetLink"/>
                  <w:rFonts w:ascii="Times New Roman;serif" w:hAnsi="Times New Roman;serif"/>
                  <w:b w:val="false"/>
                  <w:color w:val="000080"/>
                  <w:sz w:val="20"/>
                  <w:u w:val="single"/>
                </w:rPr>
                <w:t>10.6</w:t>
              </w:r>
            </w:hyperlink>
            <w:hyperlink r:id="rId281">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Sixteenth Amendment to the Receivables Purchase Agreement dated as of May 28, 2024, among TransDigm Receivables LLC, TransDigm Inc., PNC Bank, National Association, as a Committed Purchaser, as Purchaser Agent for its Purchaser Group and as Administrator, and Wells Fargo Bank, National Association,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2">
              <w:r>
                <w:rPr>
                  <w:rStyle w:val="InternetLink"/>
                  <w:rFonts w:ascii="Times New Roman;serif" w:hAnsi="Times New Roman;serif"/>
                  <w:b w:val="false"/>
                  <w:color w:val="0000FF"/>
                  <w:sz w:val="20"/>
                  <w:u w:val="single"/>
                </w:rPr>
                <w:t>Incorporated by reference to TransDigm Group Incorporated’s Form 10-K, filed November 7,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3">
              <w:r>
                <w:rPr>
                  <w:rStyle w:val="InternetLink"/>
                  <w:rFonts w:ascii="Times New Roman;serif" w:hAnsi="Times New Roman;serif"/>
                  <w:b w:val="false"/>
                  <w:color w:val="000080"/>
                  <w:sz w:val="20"/>
                  <w:u w:val="single"/>
                </w:rPr>
                <w:t>10.6</w:t>
              </w:r>
            </w:hyperlink>
            <w:hyperlink r:id="rId284">
              <w:r>
                <w:rPr>
                  <w:rStyle w:val="InternetLink"/>
                  <w:rFonts w:ascii="Times New Roman;serif" w:hAnsi="Times New Roman;serif"/>
                  <w:b w:val="false"/>
                  <w:color w:val="00008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Seventeenth Amendment to the Receivables Purchase Agreement dated as of July 12, 2024, among TransDigm Receivables LLC, TransDigm Inc., PNC Bank, National Association, as a Committed Purchaser, as Purchaser Agent for its Purchaser Group and as Administrator, and Wells Fargo Bank, National Association,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5">
              <w:r>
                <w:rPr>
                  <w:rStyle w:val="InternetLink"/>
                  <w:rFonts w:ascii="Times New Roman;serif" w:hAnsi="Times New Roman;serif"/>
                  <w:b w:val="false"/>
                  <w:color w:val="0000FF"/>
                  <w:sz w:val="20"/>
                  <w:u w:val="single"/>
                </w:rPr>
                <w:t>Incorporated by reference to TransDigm Group Incorporated’s Form 10-Q, filed August 6,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6">
              <w:r>
                <w:rPr>
                  <w:rStyle w:val="InternetLink"/>
                  <w:rFonts w:ascii="Times New Roman;serif" w:hAnsi="Times New Roman;serif"/>
                  <w:b w:val="false"/>
                  <w:color w:val="000080"/>
                  <w:sz w:val="20"/>
                  <w:u w:val="single"/>
                </w:rPr>
                <w:t>10.6</w:t>
              </w:r>
            </w:hyperlink>
            <w:hyperlink r:id="rId287">
              <w:r>
                <w:rPr>
                  <w:rStyle w:val="InternetLink"/>
                  <w:rFonts w:ascii="Times New Roman;serif" w:hAnsi="Times New Roman;serif"/>
                  <w:b w:val="false"/>
                  <w:color w:val="00008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Eighteenth Amendment to the Receivables Purchase Agreement dated as of July 11, 2025, among TransDigm Receivables LLC, TransDigm Inc., PNC Bank, National Association, as a Committed Purchaser, as Purchaser Agent for its Purchaser Group and as Administrator, and Wells Fargo Bank, National Association, as a Committed Purchaser and as Purchaser Agent for its Purchaser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8">
              <w:r>
                <w:rPr>
                  <w:rStyle w:val="InternetLink"/>
                  <w:rFonts w:ascii="Times New Roman;serif" w:hAnsi="Times New Roman;serif"/>
                  <w:b w:val="false"/>
                  <w:color w:val="0000FF"/>
                  <w:sz w:val="20"/>
                  <w:u w:val="single"/>
                </w:rPr>
                <w:t>Incorporated by reference to TransDigm Group Incorporated’s Form 10-Q, filed August 5, 2025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9">
              <w:r>
                <w:rPr>
                  <w:rStyle w:val="InternetLink"/>
                  <w:rFonts w:ascii="Times New Roman;serif" w:hAnsi="Times New Roman;serif"/>
                  <w:b w:val="false"/>
                  <w:color w:val="0000FF"/>
                  <w:sz w:val="20"/>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Amended and Restated Insider Trading and Confidentiality Policy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0">
              <w:r>
                <w:rPr>
                  <w:rStyle w:val="InternetLink"/>
                  <w:rFonts w:ascii="Times New Roman;serif" w:hAnsi="Times New Roman;serif"/>
                  <w:b w:val="false"/>
                  <w:color w:val="0000FF"/>
                  <w:sz w:val="20"/>
                  <w:u w:val="single"/>
                </w:rPr>
                <w:t>Incorporated by reference to TransDigm Group Incorporated’s Form 10-K, filed November 7, 2024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tdg202510-k.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Subsidiaries of 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11tdg202510-k.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1tdg202510-k.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Listing of 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21tdg202510-k.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tdg202510-k.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tdg202510-k.htm">
              <w:r>
                <w:rPr>
                  <w:rStyle w:val="InternetLink"/>
                  <w:rFonts w:ascii="Times New Roman;serif" w:hAnsi="Times New Roman;serif"/>
                  <w:b w:val="false"/>
                  <w:color w:val="0000FF"/>
                  <w:sz w:val="20"/>
                  <w:u w:val="single"/>
                </w:rPr>
                <w:t>Filed Herewith</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1761"/>
        <w:gridCol w:w="1761"/>
        <w:gridCol w:w="1776"/>
        <w:gridCol w:w="109"/>
        <w:gridCol w:w="109"/>
        <w:gridCol w:w="109"/>
        <w:gridCol w:w="1032"/>
        <w:gridCol w:w="916"/>
        <w:gridCol w:w="1299"/>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Filed Herewith or Incorporated by Reference From</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tdg202510-k.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tdg202510-k.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tdg202510-k.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Rule 13a-14(a) or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tdg202510-k.htm">
              <w:r>
                <w:rPr>
                  <w:rStyle w:val="InternetLink"/>
                  <w:rFonts w:ascii="Times New Roman;serif" w:hAnsi="Times New Roman;serif"/>
                  <w:b w:val="false"/>
                  <w:color w:val="0000FF"/>
                  <w:sz w:val="20"/>
                  <w:u w:val="single"/>
                </w:rPr>
                <w:t>Filed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tdg202510-k.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Executive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tdg202510-k.htm">
              <w:r>
                <w:rPr>
                  <w:rStyle w:val="InternetLink"/>
                  <w:rFonts w:ascii="Times New Roman;serif" w:hAnsi="Times New Roman;serif"/>
                  <w:b w:val="false"/>
                  <w:color w:val="0000FF"/>
                  <w:sz w:val="20"/>
                  <w:u w:val="single"/>
                </w:rPr>
                <w:t>Furnished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tdg202510-k.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by Principal Financial Officer of TransDigm Group Incorporated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tdg202510-k.htm">
              <w:r>
                <w:rPr>
                  <w:rStyle w:val="InternetLink"/>
                  <w:rFonts w:ascii="Times New Roman;serif" w:hAnsi="Times New Roman;serif"/>
                  <w:b w:val="false"/>
                  <w:color w:val="0000FF"/>
                  <w:sz w:val="20"/>
                  <w:u w:val="single"/>
                </w:rPr>
                <w:t>Furnished Herewith</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1">
              <w:r>
                <w:rPr>
                  <w:rStyle w:val="InternetLink"/>
                  <w:rFonts w:ascii="Times New Roman;serif" w:hAnsi="Times New Roman;serif"/>
                  <w:b w:val="false"/>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TransDigm Group Incorporated Compensation Clawback Policy, dated October 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2">
              <w:r>
                <w:rPr>
                  <w:rStyle w:val="InternetLink"/>
                  <w:rFonts w:ascii="Times New Roman;serif" w:hAnsi="Times New Roman;serif"/>
                  <w:b w:val="false"/>
                  <w:color w:val="0000FF"/>
                  <w:sz w:val="20"/>
                  <w:u w:val="single"/>
                </w:rPr>
                <w:t>Incorporated by reference to TransDigm Group Incorporated’s Form 10-K, filed November 9, 2023 (File No. 001-32833)</w:t>
              </w:r>
            </w:hyperlink>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XBRL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and are contained within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533"/>
        <w:gridCol w:w="1533"/>
        <w:gridCol w:w="1533"/>
        <w:gridCol w:w="1533"/>
        <w:gridCol w:w="1533"/>
        <w:gridCol w:w="21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Indicates management contract or compensatory plan contract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Schedules and exhibits have been omitted pursuant to Item 601(a)(5) of Regulation S-K. The Company hereby undertakes to furnish on a supplemental basis a copy of any omitted schedule or exhibit upon request by the Securities and Exchange Commission.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November 12, 2025.</w:t>
      </w:r>
    </w:p>
    <w:tbl>
      <w:tblPr>
        <w:tblW w:w="3704" w:type="dxa"/>
        <w:jc w:val="right"/>
        <w:tblInd w:w="0" w:type="dxa"/>
        <w:tblLayout w:type="fixed"/>
        <w:tblCellMar>
          <w:top w:w="28" w:type="dxa"/>
          <w:left w:w="28" w:type="dxa"/>
          <w:bottom w:w="28" w:type="dxa"/>
          <w:right w:w="28" w:type="dxa"/>
        </w:tblCellMar>
      </w:tblPr>
      <w:tblGrid>
        <w:gridCol w:w="642"/>
        <w:gridCol w:w="564"/>
        <w:gridCol w:w="564"/>
        <w:gridCol w:w="564"/>
        <w:gridCol w:w="564"/>
        <w:gridCol w:w="806"/>
      </w:tblGrid>
      <w:tr>
        <w:trPr/>
        <w:tc>
          <w:tcPr>
            <w:tcW w:w="64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37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Sarah Wynne</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as of the dates indicated.</w:t>
      </w:r>
    </w:p>
    <w:tbl>
      <w:tblPr>
        <w:tblW w:w="8422"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314"/>
        <w:gridCol w:w="1314"/>
        <w:gridCol w:w="1331"/>
        <w:gridCol w:w="109"/>
        <w:gridCol w:w="109"/>
        <w:gridCol w:w="109"/>
        <w:gridCol w:w="512"/>
        <w:gridCol w:w="512"/>
        <w:gridCol w:w="73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Chief Executive Officer and Director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Michael Lisman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Sarah Wynne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 Nicholas Howley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 Nicholas Howley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A. Barr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A. Barr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Jane M. Cronin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Jane M. Cronin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Graff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Michael Graff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Sean P. Hennessy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Sean P. Hennessy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Gary E. McCullough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Gary E. McCullough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Pete Palmer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Pete Palmer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Michele L. Santana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Michele L. Santana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J. Small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Robert J. Small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M. 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12, 2025</w:t>
            </w:r>
          </w:p>
        </w:tc>
      </w:tr>
      <w:tr>
        <w:trPr/>
        <w:tc>
          <w:tcPr>
            <w:tcW w:w="2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Kevin M. 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TRANSDIGM GROUP INCORPORATED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8 AND ITEM 15(a)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FINANCIAL STATEMENTS AND SUPPLEMENTARY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10"/>
        <w:gridCol w:w="2911"/>
        <w:gridCol w:w="2920"/>
        <w:gridCol w:w="309"/>
        <w:gridCol w:w="309"/>
        <w:gridCol w:w="446"/>
      </w:tblGrid>
      <w:tr>
        <w:trPr/>
        <w:tc>
          <w:tcPr>
            <w:tcW w:w="3310"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9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w:t>
            </w:r>
          </w:p>
        </w:tc>
        <w:tc>
          <w:tcPr>
            <w:tcW w:w="10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(Ernst &amp; Young LLP, PCAOB ID: 42)</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27">
              <w:r>
                <w:rPr>
                  <w:rStyle w:val="InternetLink"/>
                  <w:rFonts w:ascii="Times New Roman;serif" w:hAnsi="Times New Roman;serif"/>
                  <w:b w:val="false"/>
                  <w:color w:val="000080"/>
                  <w:sz w:val="20"/>
                  <w:u w:val="single"/>
                </w:rPr>
                <w:t>1</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September 30, 2025 and 2024</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0">
              <w:r>
                <w:rPr>
                  <w:rStyle w:val="InternetLink"/>
                  <w:rFonts w:ascii="Times New Roman;serif" w:hAnsi="Times New Roman;serif"/>
                  <w:b w:val="false"/>
                  <w:color w:val="000080"/>
                  <w:sz w:val="20"/>
                  <w:u w:val="single"/>
                </w:rPr>
                <w:t>3</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Income for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6">
              <w:r>
                <w:rPr>
                  <w:rStyle w:val="InternetLink"/>
                  <w:rFonts w:ascii="Times New Roman;serif" w:hAnsi="Times New Roman;serif"/>
                  <w:b w:val="false"/>
                  <w:color w:val="000080"/>
                  <w:sz w:val="20"/>
                  <w:u w:val="single"/>
                </w:rPr>
                <w:t>4</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for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39">
              <w:r>
                <w:rPr>
                  <w:rStyle w:val="InternetLink"/>
                  <w:rFonts w:ascii="Times New Roman;serif" w:hAnsi="Times New Roman;serif"/>
                  <w:b w:val="false"/>
                  <w:color w:val="000080"/>
                  <w:sz w:val="20"/>
                  <w:u w:val="single"/>
                </w:rPr>
                <w:t>5</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Statements of Changes in Stockholders’ Deficit for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42">
              <w:r>
                <w:rPr>
                  <w:rStyle w:val="InternetLink"/>
                  <w:rFonts w:ascii="Times New Roman;serif" w:hAnsi="Times New Roman;serif"/>
                  <w:b w:val="false"/>
                  <w:color w:val="000080"/>
                  <w:sz w:val="20"/>
                  <w:u w:val="single"/>
                </w:rPr>
                <w:t>6</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19FF"/>
                <w:sz w:val="20"/>
                <w:u w:val="single"/>
              </w:rPr>
              <w:t>F-</w:t>
            </w:r>
            <w:hyperlink w:anchor="i348eacf94acd4c1ca064b10a69770101_145">
              <w:r>
                <w:rPr>
                  <w:rStyle w:val="InternetLink"/>
                  <w:rFonts w:ascii="Times New Roman;serif" w:hAnsi="Times New Roman;serif"/>
                  <w:b w:val="false"/>
                  <w:color w:val="000080"/>
                  <w:sz w:val="20"/>
                  <w:u w:val="single"/>
                </w:rPr>
                <w:t>7</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for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148">
              <w:r>
                <w:rPr>
                  <w:rStyle w:val="InternetLink"/>
                  <w:rFonts w:ascii="Times New Roman;serif" w:hAnsi="Times New Roman;serif"/>
                  <w:b w:val="false"/>
                  <w:color w:val="000080"/>
                  <w:sz w:val="20"/>
                  <w:u w:val="single"/>
                </w:rPr>
                <w:t>F-</w:t>
              </w:r>
            </w:hyperlink>
            <w:hyperlink w:anchor="i348eacf94acd4c1ca064b10a69770101_148">
              <w:r>
                <w:rPr>
                  <w:rStyle w:val="InternetLink"/>
                  <w:rFonts w:ascii="Times New Roman;serif" w:hAnsi="Times New Roman;serif"/>
                  <w:b w:val="false"/>
                  <w:color w:val="000080"/>
                  <w:sz w:val="20"/>
                  <w:u w:val="single"/>
                </w:rPr>
                <w:t>8</w:t>
              </w:r>
            </w:hyperlink>
            <w:r>
              <w:rPr>
                <w:color w:val="000000"/>
              </w:rPr>
              <w:t> </w:t>
            </w:r>
            <w:r>
              <w:rPr>
                <w:rFonts w:ascii="Times New Roman;serif" w:hAnsi="Times New Roman;serif"/>
                <w:b w:val="false"/>
                <w:color w:val="000000"/>
                <w:sz w:val="20"/>
              </w:rPr>
              <w:t>to </w:t>
            </w:r>
            <w:hyperlink w:anchor="i348eacf94acd4c1ca064b10a69770101_226">
              <w:r>
                <w:rPr>
                  <w:rStyle w:val="InternetLink"/>
                  <w:rFonts w:ascii="Times New Roman;serif" w:hAnsi="Times New Roman;serif"/>
                  <w:b w:val="false"/>
                  <w:color w:val="000080"/>
                  <w:sz w:val="20"/>
                  <w:u w:val="single"/>
                </w:rPr>
                <w:t>F-</w:t>
              </w:r>
            </w:hyperlink>
            <w:hyperlink w:anchor="i348eacf94acd4c1ca064b10a69770101_226">
              <w:r>
                <w:rPr>
                  <w:rStyle w:val="InternetLink"/>
                  <w:rFonts w:ascii="Times New Roman;serif" w:hAnsi="Times New Roman;serif"/>
                  <w:b w:val="false"/>
                  <w:color w:val="000080"/>
                  <w:sz w:val="20"/>
                  <w:u w:val="single"/>
                </w:rPr>
                <w:t>38</w:t>
              </w:r>
            </w:hyperlink>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Data: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and Qualifying Accounts for the Fiscal Years Ended September 30, 2025, 2024 and 2023</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48eacf94acd4c1ca064b10a69770101_232">
              <w:r>
                <w:rPr>
                  <w:rStyle w:val="InternetLink"/>
                  <w:rFonts w:ascii="Times New Roman;serif" w:hAnsi="Times New Roman;serif"/>
                  <w:b w:val="false"/>
                  <w:color w:val="0000FF"/>
                  <w:sz w:val="20"/>
                  <w:u w:val="single"/>
                </w:rPr>
                <w:t>F-</w:t>
              </w:r>
            </w:hyperlink>
            <w:hyperlink w:anchor="i348eacf94acd4c1ca064b10a69770101_232">
              <w:r>
                <w:rPr>
                  <w:rStyle w:val="InternetLink"/>
                  <w:rFonts w:ascii="Times New Roman;serif" w:hAnsi="Times New Roman;serif"/>
                  <w:b w:val="false"/>
                  <w:color w:val="0019FF"/>
                  <w:sz w:val="20"/>
                  <w:u w:val="single"/>
                </w:rPr>
                <w:t>39</w:t>
              </w:r>
            </w:hyperlink>
          </w:p>
        </w:tc>
      </w:tr>
    </w:tbl>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22" w:after="283"/>
        <w:ind w:left="0" w:right="0" w:firstLine="54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TransDigm Group Incorporated </w:t>
      </w:r>
    </w:p>
    <w:p>
      <w:pPr>
        <w:pStyle w:val="TextBody"/>
        <w:bidi w:val="0"/>
        <w:spacing w:before="2" w:after="283"/>
        <w:jc w:val="left"/>
        <w:rPr/>
      </w:pPr>
      <w:r>
        <w:rPr/>
      </w:r>
    </w:p>
    <w:p>
      <w:pPr>
        <w:pStyle w:val="TextBody"/>
        <w:bidi w:val="0"/>
        <w:spacing w:lineRule="auto" w:line="288" w:before="120" w:after="283"/>
        <w:jc w:val="left"/>
        <w:rPr/>
      </w:pPr>
      <w:r>
        <w:rPr>
          <w:rFonts w:ascii="Times New Roman;serif" w:hAnsi="Times New Roman;serif"/>
          <w:b/>
          <w:color w:val="000000"/>
          <w:sz w:val="20"/>
        </w:rPr>
        <w:t>Opinion on the Financial Statements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TransDigm Group Incorporated (the “Company”) as of September 30, 2025 and 2024, the related consolidated statements of income, comprehensive income, changes in stockholders’ deficit and cash flows for each of the three fiscal years in the period ended September 30,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September 30, 2025 and 2024, and the results of its operations and its cash flows for each of the three fiscal years in the period ended September 30, 2025, in conformity with U.S. generally accepted accounting principles. </w:t>
      </w:r>
    </w:p>
    <w:p>
      <w:pPr>
        <w:pStyle w:val="TextBody"/>
        <w:bidi w:val="0"/>
        <w:spacing w:lineRule="auto" w:line="288" w:before="120" w:after="283"/>
        <w:jc w:val="both"/>
        <w:rPr/>
      </w:pPr>
      <w:r>
        <w:rPr>
          <w:rFonts w:ascii="Times New Roman;serif" w:hAnsi="Times New Roman;serif"/>
          <w:b w:val="false"/>
          <w:color w:val="000000"/>
          <w:sz w:val="20"/>
        </w:rPr>
        <w:t>We also have audited, in accordance with the standards of the Public Company Accounting Oversight Board (United States) (“PCAOB”), the Company's internal control over financial reporting as of September 30, 2025, based on criteria established in Internal Control—Integrated Framework issued by the Committee of Sponsoring Organizations of the Treadway Commission (2013 framework),</w:t>
      </w:r>
      <w:r>
        <w:rPr>
          <w:color w:val="000000"/>
        </w:rPr>
        <w:t xml:space="preserve"> </w:t>
      </w:r>
      <w:r>
        <w:rPr>
          <w:rFonts w:ascii="Times New Roman;serif" w:hAnsi="Times New Roman;serif"/>
          <w:b w:val="false"/>
          <w:color w:val="000000"/>
          <w:sz w:val="20"/>
        </w:rPr>
        <w:t>and our report dated November 12, 2025 expressed an unqualified opinion thereon.</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5"/>
        <w:gridCol w:w="409"/>
        <w:gridCol w:w="412"/>
        <w:gridCol w:w="109"/>
        <w:gridCol w:w="109"/>
        <w:gridCol w:w="109"/>
        <w:gridCol w:w="2678"/>
        <w:gridCol w:w="2443"/>
        <w:gridCol w:w="3471"/>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71" w:type="dxa"/>
            <w:tcBorders/>
            <w:vAlign w:val="center"/>
          </w:tcPr>
          <w:p>
            <w:pPr>
              <w:pStyle w:val="TableContents"/>
              <w:bidi w:val="0"/>
              <w:spacing w:before="0" w:after="283"/>
              <w:jc w:val="left"/>
              <w:rPr>
                <w:sz w:val="4"/>
                <w:szCs w:val="4"/>
              </w:rPr>
            </w:pPr>
            <w:r>
              <w:rPr>
                <w:sz w:val="4"/>
                <w:szCs w:val="4"/>
              </w:rPr>
            </w:r>
          </w:p>
        </w:tc>
      </w:tr>
      <w:tr>
        <w:trPr/>
        <w:tc>
          <w:tcPr>
            <w:tcW w:w="1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Annual assessment of goodwill for impairment</w:t>
            </w:r>
          </w:p>
        </w:tc>
      </w:tr>
      <w:tr>
        <w:trPr/>
        <w:tc>
          <w:tcPr>
            <w:tcW w:w="128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disclosed in Note 8, the Company had goodwill of $10,612 million at September 30, 2025. As discussed in Note 1 to the consolidated financial statements, goodwill is tested for impairment annually as of the first day of the fourth fiscal quarter, or more frequently, if an event occurs or circumstances change that would more likely than not reduce fair value below carrying value. The Company’s goodwill is initially assigned to its reporting units as of the acquisition date. The Company first assesses qualitative factors to determine whether it is more likely than not that the fair value of a reporting unit is less than its carrying value. If the Company determines the qualitative assessment is not sufficient to conclude on whether it is more likely than not that the fair value is less than the carrying value, a quantitative impairment test is performed. The Company may also elect to bypass the qualitative assessment and perform a quantitative test for any or all reporting units. As part of the quantitative assessment, the Company determines the fair value of the reporting units using a discounted cash flow valuation model.</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Auditing management’s quantitative impairment assessment was complex and judgmental for certain of the reporting units due to the significant estimation required to determine fair value. In particular, the fair value estimates were sensitive to significant assumptions, such as changes in the discount rate, revenue growth rates and EBITDA margins, which are affected by expectations about future market or economic conditions.</w:t>
            </w:r>
          </w:p>
        </w:tc>
      </w:tr>
      <w:tr>
        <w:trPr/>
        <w:tc>
          <w:tcPr>
            <w:tcW w:w="128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2"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obtained an understanding, evaluated the design and tested the operating effectiveness of controls over the Company’s impairment process, including controls over management’s review of the valuation model and the significant assumptions underlying the fair value determination, as described above.</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test the fair values of the Company’s reporting units, our audit procedures included, among others, assessing the use of the discounted cash flow valuation model and testing the significant assumptions discussed above and underlying data used by the Company in its analyses for certain of the reporting units evaluated using the quantitative assessment. We utilized internal valuation specialists in assessing the fair value methodologies applied and evaluating the reasonableness of the discount rate selected by management in the determination of the fair values of certain of the reporting units. We compared the revenue growth rates and EBITDA margins used by management to current industry and economic trends, recent historical performance, or other relevant factors. We performed sensitivity analyses of significant assumptions described above to evaluate the changes in fair values that would result from changes in the assumptions.</w:t>
            </w:r>
          </w:p>
        </w:tc>
      </w:tr>
    </w:tbl>
    <w:p>
      <w:pPr>
        <w:pStyle w:val="TextBody"/>
        <w:bidi w:val="0"/>
        <w:spacing w:before="20" w:after="283"/>
        <w:jc w:val="left"/>
        <w:rPr/>
      </w:pPr>
      <w:r>
        <w:rPr/>
      </w:r>
    </w:p>
    <w:p>
      <w:pPr>
        <w:pStyle w:val="TextBody"/>
        <w:bidi w:val="0"/>
        <w:spacing w:lineRule="auto" w:line="288" w:before="2"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Cleveland, Ohio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November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OF SEPTEMBER 30, 2025 AND 2024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share amounts)</w:t>
      </w:r>
    </w:p>
    <w:tbl>
      <w:tblPr>
        <w:tblW w:w="10205" w:type="dxa"/>
        <w:jc w:val="left"/>
        <w:tblInd w:w="0" w:type="dxa"/>
        <w:tblLayout w:type="fixed"/>
        <w:tblCellMar>
          <w:top w:w="28" w:type="dxa"/>
          <w:left w:w="28" w:type="dxa"/>
          <w:bottom w:w="28" w:type="dxa"/>
          <w:right w:w="28" w:type="dxa"/>
        </w:tblCellMar>
      </w:tblPr>
      <w:tblGrid>
        <w:gridCol w:w="3056"/>
        <w:gridCol w:w="2340"/>
        <w:gridCol w:w="2353"/>
        <w:gridCol w:w="211"/>
        <w:gridCol w:w="721"/>
        <w:gridCol w:w="109"/>
        <w:gridCol w:w="109"/>
        <w:gridCol w:w="109"/>
        <w:gridCol w:w="109"/>
        <w:gridCol w:w="211"/>
        <w:gridCol w:w="721"/>
        <w:gridCol w:w="156"/>
      </w:tblGrid>
      <w:tr>
        <w:trPr/>
        <w:tc>
          <w:tcPr>
            <w:tcW w:w="305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 GROUP STOCKHOLDERS’ DEFICIT:</w:t>
            </w:r>
          </w:p>
        </w:tc>
        <w:tc>
          <w:tcPr>
            <w:tcW w:w="104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$.01 par value; authorized 224,400,000 shares; issued 62,465,317 and 61,904,833 at September 30, 2025 and September 30,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6,089,675 and 5,688,639 shares at September 30, 2025 and September 30,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TD Group stockholders’ deficit</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(9,679)</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25,586 </w:t>
            </w:r>
          </w:p>
        </w:tc>
        <w:tc>
          <w:tcPr>
            <w:tcW w:w="1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per share amounts)</w:t>
      </w:r>
    </w:p>
    <w:tbl>
      <w:tblPr>
        <w:tblW w:w="10167" w:type="dxa"/>
        <w:jc w:val="left"/>
        <w:tblInd w:w="0" w:type="dxa"/>
        <w:tblLayout w:type="fixed"/>
        <w:tblCellMar>
          <w:top w:w="28" w:type="dxa"/>
          <w:left w:w="28" w:type="dxa"/>
          <w:bottom w:w="28" w:type="dxa"/>
          <w:right w:w="28" w:type="dxa"/>
        </w:tblCellMar>
      </w:tblPr>
      <w:tblGrid>
        <w:gridCol w:w="2767"/>
        <w:gridCol w:w="1884"/>
        <w:gridCol w:w="1904"/>
        <w:gridCol w:w="211"/>
        <w:gridCol w:w="616"/>
        <w:gridCol w:w="109"/>
        <w:gridCol w:w="109"/>
        <w:gridCol w:w="109"/>
        <w:gridCol w:w="109"/>
        <w:gridCol w:w="211"/>
        <w:gridCol w:w="721"/>
        <w:gridCol w:w="109"/>
        <w:gridCol w:w="109"/>
        <w:gridCol w:w="109"/>
        <w:gridCol w:w="109"/>
        <w:gridCol w:w="211"/>
        <w:gridCol w:w="616"/>
        <w:gridCol w:w="154"/>
      </w:tblGrid>
      <w:tr>
        <w:trPr/>
        <w:tc>
          <w:tcPr>
            <w:tcW w:w="276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TD Group common stockholders: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declared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w:t>
      </w:r>
    </w:p>
    <w:tbl>
      <w:tblPr>
        <w:tblW w:w="9537" w:type="dxa"/>
        <w:jc w:val="left"/>
        <w:tblInd w:w="0" w:type="dxa"/>
        <w:tblLayout w:type="fixed"/>
        <w:tblCellMar>
          <w:top w:w="28" w:type="dxa"/>
          <w:left w:w="28" w:type="dxa"/>
          <w:bottom w:w="28" w:type="dxa"/>
          <w:right w:w="28" w:type="dxa"/>
        </w:tblCellMar>
      </w:tblPr>
      <w:tblGrid>
        <w:gridCol w:w="2183"/>
        <w:gridCol w:w="1914"/>
        <w:gridCol w:w="1933"/>
        <w:gridCol w:w="211"/>
        <w:gridCol w:w="616"/>
        <w:gridCol w:w="109"/>
        <w:gridCol w:w="109"/>
        <w:gridCol w:w="109"/>
        <w:gridCol w:w="109"/>
        <w:gridCol w:w="211"/>
        <w:gridCol w:w="616"/>
        <w:gridCol w:w="109"/>
        <w:gridCol w:w="109"/>
        <w:gridCol w:w="109"/>
        <w:gridCol w:w="109"/>
        <w:gridCol w:w="211"/>
        <w:gridCol w:w="616"/>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on derivatives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post-retirement benefit plans adjustment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 attributable to TD Group</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TD GROUP</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CHANGES IN STOCKHOLDERS’ DEFICIT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 except share amounts)</w:t>
      </w:r>
    </w:p>
    <w:tbl>
      <w:tblPr>
        <w:tblW w:w="11307" w:type="dxa"/>
        <w:jc w:val="left"/>
        <w:tblInd w:w="0" w:type="dxa"/>
        <w:tblLayout w:type="fixed"/>
        <w:tblCellMar>
          <w:top w:w="28" w:type="dxa"/>
          <w:left w:w="28" w:type="dxa"/>
          <w:bottom w:w="28" w:type="dxa"/>
          <w:right w:w="28" w:type="dxa"/>
        </w:tblCellMar>
      </w:tblPr>
      <w:tblGrid>
        <w:gridCol w:w="460"/>
        <w:gridCol w:w="272"/>
        <w:gridCol w:w="274"/>
        <w:gridCol w:w="398"/>
        <w:gridCol w:w="398"/>
        <w:gridCol w:w="191"/>
        <w:gridCol w:w="109"/>
        <w:gridCol w:w="109"/>
        <w:gridCol w:w="109"/>
        <w:gridCol w:w="187"/>
        <w:gridCol w:w="219"/>
        <w:gridCol w:w="109"/>
        <w:gridCol w:w="109"/>
        <w:gridCol w:w="109"/>
        <w:gridCol w:w="109"/>
        <w:gridCol w:w="181"/>
        <w:gridCol w:w="466"/>
        <w:gridCol w:w="109"/>
        <w:gridCol w:w="109"/>
        <w:gridCol w:w="109"/>
        <w:gridCol w:w="109"/>
        <w:gridCol w:w="181"/>
        <w:gridCol w:w="581"/>
        <w:gridCol w:w="109"/>
        <w:gridCol w:w="109"/>
        <w:gridCol w:w="109"/>
        <w:gridCol w:w="109"/>
        <w:gridCol w:w="277"/>
        <w:gridCol w:w="576"/>
        <w:gridCol w:w="168"/>
        <w:gridCol w:w="109"/>
        <w:gridCol w:w="109"/>
        <w:gridCol w:w="109"/>
        <w:gridCol w:w="368"/>
        <w:gridCol w:w="368"/>
        <w:gridCol w:w="191"/>
        <w:gridCol w:w="109"/>
        <w:gridCol w:w="109"/>
        <w:gridCol w:w="109"/>
        <w:gridCol w:w="181"/>
        <w:gridCol w:w="481"/>
        <w:gridCol w:w="109"/>
        <w:gridCol w:w="109"/>
        <w:gridCol w:w="109"/>
        <w:gridCol w:w="109"/>
        <w:gridCol w:w="368"/>
        <w:gridCol w:w="430"/>
        <w:gridCol w:w="223"/>
        <w:gridCol w:w="109"/>
        <w:gridCol w:w="109"/>
        <w:gridCol w:w="109"/>
        <w:gridCol w:w="181"/>
        <w:gridCol w:w="481"/>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TD Group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Additional</w:t>
              <w:br/>
              <w:t>Paid-In</w:t>
              <w:br/>
              <w:t>Capital</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3"/>
              </w:rPr>
              <w:br/>
            </w:r>
            <w:r>
              <w:rPr>
                <w:rFonts w:ascii="Times New Roman;serif" w:hAnsi="Times New Roman;serif"/>
                <w:b/>
                <w:color w:val="000000"/>
                <w:sz w:val="13"/>
              </w:rPr>
              <w:t>Accumulated</w:t>
              <w:br/>
              <w:t>Deficit</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Loss</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Par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1021"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Number of</w:t>
              <w:b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3"/>
              </w:rPr>
            </w:pPr>
            <w:r>
              <w:rPr>
                <w:rFonts w:ascii="Times New Roman;serif" w:hAnsi="Times New Roman;serif"/>
                <w:b/>
                <w:color w:val="000000"/>
                <w:sz w:val="13"/>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2022</w:t>
            </w:r>
          </w:p>
        </w:tc>
        <w:tc>
          <w:tcPr>
            <w:tcW w:w="79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60,049,685 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(3,914)</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w:t>
            </w:r>
          </w:p>
        </w:tc>
        <w:tc>
          <w:tcPr>
            <w:tcW w:w="16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(5,688,639)</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(3,766)</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945,828 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on derivatives,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2023</w:t>
            </w:r>
          </w:p>
        </w:tc>
        <w:tc>
          <w:tcPr>
            <w:tcW w:w="7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60,995,513 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(5,688,639)</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(1,978)</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noncontrolling interest of consolidated subsidiaries, net</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Special dividends ($35.00 and $75.00 per share) and vested dividend equivalents declared</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909,320 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derivatives,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2024</w:t>
            </w:r>
          </w:p>
        </w:tc>
        <w:tc>
          <w:tcPr>
            <w:tcW w:w="7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61,904,833 </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(7,362)</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6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(5,688,639)</w:t>
            </w:r>
          </w:p>
        </w:tc>
        <w:tc>
          <w:tcPr>
            <w:tcW w:w="19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(6,283)</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Special dividends ($90.00 per share) and vested dividend equivalents declared</w:t>
            </w:r>
          </w:p>
        </w:tc>
        <w:tc>
          <w:tcPr>
            <w:tcW w:w="79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unvested dividend equivalents and 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expense recognized for employee stock options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activity</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560,484 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 repurchases under repurchase program</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(401,036)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attributable to TD Group</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 on derivatives, net of tax</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Pension and post-retirement benefit plans adjustment, net of tax</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BALANCE—September 30, 2025</w:t>
            </w:r>
          </w:p>
        </w:tc>
        <w:tc>
          <w:tcPr>
            <w:tcW w:w="79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62,465,317 </w:t>
            </w:r>
          </w:p>
        </w:tc>
        <w:tc>
          <w:tcPr>
            <w:tcW w:w="1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(6,089,675)</w:t>
            </w:r>
          </w:p>
        </w:tc>
        <w:tc>
          <w:tcPr>
            <w:tcW w:w="19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(2,206)</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2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(9,679)</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w:t>
      </w:r>
    </w:p>
    <w:tbl>
      <w:tblPr>
        <w:tblW w:w="9956" w:type="dxa"/>
        <w:jc w:val="left"/>
        <w:tblInd w:w="0" w:type="dxa"/>
        <w:tblLayout w:type="fixed"/>
        <w:tblCellMar>
          <w:top w:w="28" w:type="dxa"/>
          <w:left w:w="28" w:type="dxa"/>
          <w:bottom w:w="28" w:type="dxa"/>
          <w:right w:w="28" w:type="dxa"/>
        </w:tblCellMar>
      </w:tblPr>
      <w:tblGrid>
        <w:gridCol w:w="2419"/>
        <w:gridCol w:w="2125"/>
        <w:gridCol w:w="2130"/>
        <w:gridCol w:w="196"/>
        <w:gridCol w:w="556"/>
        <w:gridCol w:w="109"/>
        <w:gridCol w:w="109"/>
        <w:gridCol w:w="109"/>
        <w:gridCol w:w="109"/>
        <w:gridCol w:w="196"/>
        <w:gridCol w:w="556"/>
        <w:gridCol w:w="109"/>
        <w:gridCol w:w="109"/>
        <w:gridCol w:w="109"/>
        <w:gridCol w:w="109"/>
        <w:gridCol w:w="196"/>
        <w:gridCol w:w="556"/>
        <w:gridCol w:w="154"/>
      </w:tblGrid>
      <w:tr>
        <w:trPr/>
        <w:tc>
          <w:tcPr>
            <w:tcW w:w="24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6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 and product certification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original issue discount and premium</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inventory step-up</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 contract reserves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Refinancing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businesses,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stock and deferred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losses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settlement of the Esterline Retirement Plan (the “ERP”)</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refund for the ERP settlement,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assets/liabilities, net of effects from acquisitions and sales of businesses: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transactions,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and dividend equivalent 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secured notes,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senior secured notes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senior subordinated notes,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Repayments of senior subordinated notes, net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trade receivable securitization facility,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on term loans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and other,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FISCAL YEARS ENDED SEPTEMBER 30,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SUMMARY OF SIGNIFICANT ACCOUNTING POLICIES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General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 Group Incorporated (“TD Group”), through its wholly-owned subsidiary, TransDigm Inc., is a leading global designer, producer and supplier of highly engineered aircraft components that are critical to the safe and effective operation of nearly all commercial and military aircraft worldwide. Our products are represented in nearly every commercial and military aircraft in service today. TransDigm Inc., along with TransDigm Inc.’s direct and indirect wholly-owned operating subsidiaries (collectively, with TD Group, the “Company” or “TransDigm”), offers a broad range of proprietary aerospace products. TD Group has no significant assets or operations other than its 100% ownership of TransDigm Inc. TD Group’s common stock is listed on the New York Stock Exchange, or the NYSE, under the trading symbol “TDG.”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used in this Annual Report on Form 10-K, unless the context otherwise requires, the terms “Company”, “TD Group”, “TransDigm”, “we,” “our” or “us” refer to TransDigm Group Incorporated and its subsidiaries.</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Basis of Presentation and Principles of Consolidation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were prepared in conformity with generally accepted accounting principles in the United States (“U.S. GAAP”) and include the accounts of TD Group and subsidiaries. Intercompany balances and transactions have been eliminated. Certain reclassifications to the consolidated financial statements and notes have been made to the prior year amounts to conform to the current year presentation, none of which are material. </w:t>
      </w:r>
    </w:p>
    <w:p>
      <w:pPr>
        <w:pStyle w:val="TextBody"/>
        <w:bidi w:val="0"/>
        <w:spacing w:lineRule="auto" w:line="288" w:before="120" w:after="283"/>
        <w:jc w:val="both"/>
        <w:rPr/>
      </w:pPr>
      <w:r>
        <w:rPr>
          <w:rFonts w:ascii="Times New Roman;serif" w:hAnsi="Times New Roman;serif"/>
          <w:b/>
          <w:i/>
          <w:color w:val="000000"/>
          <w:sz w:val="20"/>
        </w:rPr>
        <w:t xml:space="preserve">Estimates </w:t>
      </w:r>
      <w:r>
        <w:rPr>
          <w:color w:val="000000"/>
        </w:rPr>
        <w:t xml:space="preserve">– </w:t>
      </w: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8" w:before="120" w:after="283"/>
        <w:jc w:val="both"/>
        <w:rPr/>
      </w:pPr>
      <w:r>
        <w:rPr>
          <w:rFonts w:ascii="Times New Roman;serif" w:hAnsi="Times New Roman;serif"/>
          <w:b/>
          <w:i/>
          <w:color w:val="000000"/>
          <w:sz w:val="20"/>
        </w:rPr>
        <w:t xml:space="preserve">Revenue Recognition </w:t>
      </w:r>
      <w:r>
        <w:rPr>
          <w:color w:val="000000"/>
        </w:rPr>
        <w:t xml:space="preserve">– </w:t>
      </w:r>
      <w:r>
        <w:rPr>
          <w:rFonts w:ascii="Times New Roman;serif" w:hAnsi="Times New Roman;serif"/>
          <w:b w:val="false"/>
          <w:color w:val="000000"/>
          <w:sz w:val="20"/>
        </w:rPr>
        <w:t xml:space="preserve">The Company recognizes revenue from contracts with customers using the five step model prescribed in ASC 606. A substantial portion of the Company's revenue is recorded at a point in time basis.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 Refer to Note 3, “Revenue Recognition,” for further information. </w:t>
      </w:r>
    </w:p>
    <w:p>
      <w:pPr>
        <w:pStyle w:val="TextBody"/>
        <w:bidi w:val="0"/>
        <w:spacing w:lineRule="auto" w:line="288" w:before="120" w:after="283"/>
        <w:jc w:val="both"/>
        <w:rPr/>
      </w:pPr>
      <w:r>
        <w:rPr>
          <w:rFonts w:ascii="Times New Roman;serif" w:hAnsi="Times New Roman;serif"/>
          <w:b/>
          <w:i/>
          <w:color w:val="000000"/>
          <w:sz w:val="20"/>
        </w:rPr>
        <w:t xml:space="preserve">Shipping and Handling Costs </w:t>
      </w:r>
      <w:r>
        <w:rPr>
          <w:color w:val="000000"/>
        </w:rPr>
        <w:t xml:space="preserve">– </w:t>
      </w:r>
      <w:r>
        <w:rPr>
          <w:rFonts w:ascii="Times New Roman;serif" w:hAnsi="Times New Roman;serif"/>
          <w:b w:val="false"/>
          <w:color w:val="000000"/>
          <w:sz w:val="20"/>
        </w:rPr>
        <w:t>Shipping and handling costs are included in cost of sales in the consolidated statements of income.</w:t>
      </w:r>
    </w:p>
    <w:p>
      <w:pPr>
        <w:pStyle w:val="TextBody"/>
        <w:bidi w:val="0"/>
        <w:spacing w:lineRule="auto" w:line="288" w:before="120" w:after="283"/>
        <w:jc w:val="both"/>
        <w:rPr/>
      </w:pPr>
      <w:r>
        <w:rPr>
          <w:rFonts w:ascii="Times New Roman;serif" w:hAnsi="Times New Roman;serif"/>
          <w:b/>
          <w:i/>
          <w:color w:val="000000"/>
          <w:sz w:val="20"/>
        </w:rPr>
        <w:t xml:space="preserve">Research and Development Costs </w:t>
      </w:r>
      <w:r>
        <w:rPr>
          <w:color w:val="000000"/>
        </w:rPr>
        <w:t xml:space="preserve">– </w:t>
      </w:r>
      <w:r>
        <w:rPr>
          <w:rFonts w:ascii="Times New Roman;serif" w:hAnsi="Times New Roman;serif"/>
          <w:b w:val="false"/>
          <w:color w:val="000000"/>
          <w:sz w:val="20"/>
        </w:rPr>
        <w:t>The Company expenses research and development costs as incurred and classifies such amounts in selling and administrative expenses. The expense recognized for research and development costs for the fiscal years ended September 30, 2025, 2024 and 2023 was approximately $118 million, $107 million, and $105 million, respectively.</w:t>
      </w:r>
    </w:p>
    <w:p>
      <w:pPr>
        <w:pStyle w:val="TextBody"/>
        <w:bidi w:val="0"/>
        <w:spacing w:lineRule="auto" w:line="288" w:before="120" w:after="283"/>
        <w:jc w:val="both"/>
        <w:rPr/>
      </w:pPr>
      <w:r>
        <w:rPr>
          <w:rFonts w:ascii="Times New Roman;serif" w:hAnsi="Times New Roman;serif"/>
          <w:b/>
          <w:i/>
          <w:color w:val="000000"/>
          <w:sz w:val="20"/>
        </w:rPr>
        <w:t xml:space="preserve">Cash Equivalents </w:t>
      </w:r>
      <w:r>
        <w:rPr>
          <w:color w:val="000000"/>
        </w:rPr>
        <w:t xml:space="preserve">– </w:t>
      </w:r>
      <w:r>
        <w:rPr>
          <w:rFonts w:ascii="Times New Roman;serif" w:hAnsi="Times New Roman;serif"/>
          <w:b w:val="false"/>
          <w:color w:val="000000"/>
          <w:sz w:val="20"/>
        </w:rPr>
        <w:t>The Company considers all highly liquid investments with a maturity of three months or less when purchased to be cash equivalents. Cash equivalents are recorded at cost, which approximates fair value.</w:t>
      </w:r>
    </w:p>
    <w:p>
      <w:pPr>
        <w:pStyle w:val="TextBody"/>
        <w:bidi w:val="0"/>
        <w:spacing w:lineRule="auto" w:line="288" w:before="120" w:after="283"/>
        <w:jc w:val="both"/>
        <w:rPr/>
      </w:pPr>
      <w:r>
        <w:rPr>
          <w:rFonts w:ascii="Times New Roman;serif" w:hAnsi="Times New Roman;serif"/>
          <w:b/>
          <w:i/>
          <w:color w:val="000000"/>
          <w:sz w:val="20"/>
        </w:rPr>
        <w:t xml:space="preserve">Allowance for Credit Losses </w:t>
      </w:r>
      <w:r>
        <w:rPr>
          <w:color w:val="000000"/>
        </w:rPr>
        <w:t xml:space="preserve">– </w:t>
      </w:r>
      <w:r>
        <w:rPr>
          <w:rFonts w:ascii="Times New Roman;serif" w:hAnsi="Times New Roman;serif"/>
          <w:b w:val="false"/>
          <w:color w:val="000000"/>
          <w:sz w:val="20"/>
        </w:rPr>
        <w:t>The Company's allowance for credit losses is the allowance for uncollectible accounts. The allowance for uncollectible accounts reduces the trade accounts receivable balance to the estimated net realizable value equal to the amount that is expected to be collected. The Company’s method for developing its allowance for credit losses is based on historical write-off experience, the aging of receivables, an assessment of the creditworthiness of customers, economic conditions and other external market information. The allowance also incorporates a provision for the estimated impact of disputes with customers. All provisions for allowances for uncollectible accounts are included in selling and administrative expenses. The determination of the amount of the allowance for uncollectible accounts is subject to judgment and estimation by management and is also assessed individually at each operating unit by the operating unit’s management team. If circumstances change or economic conditions deteriorate or improve, the allowance for uncollectible accounts could increase or decrease. Refer to Note 5, “Trade Accounts Receivable,” for further information.</w:t>
      </w:r>
    </w:p>
    <w:p>
      <w:pPr>
        <w:pStyle w:val="TextBody"/>
        <w:bidi w:val="0"/>
        <w:spacing w:lineRule="auto" w:line="288" w:before="120" w:after="283"/>
        <w:jc w:val="both"/>
        <w:rPr/>
      </w:pPr>
      <w:r>
        <w:rPr>
          <w:rFonts w:ascii="Times New Roman;serif" w:hAnsi="Times New Roman;serif"/>
          <w:b/>
          <w:i/>
          <w:color w:val="000000"/>
          <w:sz w:val="20"/>
        </w:rPr>
        <w:t xml:space="preserve">Inventories </w:t>
      </w:r>
      <w:r>
        <w:rPr>
          <w:color w:val="000000"/>
        </w:rPr>
        <w:t xml:space="preserve">– </w:t>
      </w:r>
      <w:r>
        <w:rPr>
          <w:rFonts w:ascii="Times New Roman;serif" w:hAnsi="Times New Roman;serif"/>
          <w:b w:val="false"/>
          <w:color w:val="000000"/>
          <w:sz w:val="20"/>
        </w:rPr>
        <w:t>Inventories are stated at the lower of cost or net realizable value. Cost of inventories is generally determined by the average actual cost and the first-in, first-out (“FIFO”) methods and includes material, labor and overhead related to the manufacturing process. Provision for potentially obsolete or slow-moving inventory is made based on management’s analysis of inventory levels, historical usage and future sales forecasts. Refer to Note 6, “Inventories,”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Property, Plant and Equipment </w:t>
      </w:r>
      <w:r>
        <w:rPr>
          <w:color w:val="000000"/>
        </w:rPr>
        <w:t xml:space="preserve">– </w:t>
      </w:r>
      <w:r>
        <w:rPr>
          <w:rFonts w:ascii="Times New Roman;serif" w:hAnsi="Times New Roman;serif"/>
          <w:b w:val="false"/>
          <w:color w:val="000000"/>
          <w:sz w:val="20"/>
        </w:rPr>
        <w:t xml:space="preserve">Property, plant and equipment are stated at cost and include improvements which significantly increase capacities or extend the useful lives of existing plant and equipment. Depreciation is computed using the straight-line method over the following general estimated useful lives: land improvements from 10 to 20 years, buildings and improvements from 5 to 30 years, machinery and equipment from 2 to 10 years and furniture and fixtures from 3 to 10 years. Certain exceptions do apply in which an asset will have an estimated useful life outside of the range listed above dependent on, among other things, the nature and condition of the asset. Net gains or losses related to asset dispositions are recognized in earnings in the period in which dispositions occur. Routine maintenance, repairs and replacements are expensed as incurred. Amortization expense of assets accounted for as finance leases is included within depreciation expense.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assessed for potential impairment whenever indicators of impairment are present by determining whether the carrying value of the property can be recovered through projected, undiscounted cash flows from future operations over the property’s remaining estimated useful life. Any impairment recognized is the amount by which the carrying amount exceeds the fair value of the asset. Fair value is measured based on quoted market prices in active markets, if available. If quoted market prices are not available, the estimate of fair value is based on various valuation techniques, including the discounted value of estimated future cash flows. No material impairments of long-lived assets were recorded in fiscal 2025, 2024 or 2023. Refer to Note 7, “Property, Plant and Equipment,” for further information.</w:t>
      </w:r>
    </w:p>
    <w:p>
      <w:pPr>
        <w:pStyle w:val="TextBody"/>
        <w:bidi w:val="0"/>
        <w:spacing w:lineRule="auto" w:line="288" w:before="120" w:after="283"/>
        <w:jc w:val="both"/>
        <w:rPr/>
      </w:pPr>
      <w:r>
        <w:rPr>
          <w:rFonts w:ascii="Times New Roman;serif" w:hAnsi="Times New Roman;serif"/>
          <w:b/>
          <w:i/>
          <w:color w:val="000000"/>
          <w:sz w:val="20"/>
        </w:rPr>
        <w:t xml:space="preserve">Financial Instruments </w:t>
      </w:r>
      <w:r>
        <w:rPr>
          <w:color w:val="000000"/>
        </w:rPr>
        <w:t xml:space="preserve">– </w:t>
      </w:r>
      <w:r>
        <w:rPr>
          <w:rFonts w:ascii="Times New Roman;serif" w:hAnsi="Times New Roman;serif"/>
          <w:b w:val="false"/>
          <w:color w:val="000000"/>
          <w:sz w:val="20"/>
        </w:rPr>
        <w:t xml:space="preserve">Interest rate swap, cap and collar agreements are used to manage interest rate risk associated with floating rate borrowings under our Second Amended and Restated Credit Agreement dated as of June 4, 2014 (the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 These derivative instruments qualify as effective cash flow hedges under U.S. GAAP.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transacts business in various foreign currencies, which subjects the Company’s cash flows and results of operations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interest rate swap, cap and collar agreements and the foreign currency forward contracts designated as cash flow hedges, the effective portion of the gain or loss from the financial instruments is reported as a component of accumulated other comprehensive loss in stockholders’ deficit and subsequently reclassified into earnings in the same line as the hedged item in the same period or periods during which the hedged item affected earnings. As the interest rate swap, cap and collar agreements are used to manage interest rate risk, any gains or losses from the derivative instruments that are reclassified into earnings are recognized in interest expense-net in the consolidated statements of income. As the foreign currency forward exchange contracts are used to manage foreign currency exposure primarily arising from sales to third parties, any gains or losses from the derivative instruments that are reclassified into earnings are recognized in net sales in the consolidated statements of income. The cash flows from settled contracts are recognized in net cash provided by operating activities in the consolidated statements of cash flows. Refer to Note 18, “Derivatives and Hedging Activities,” for further information.</w:t>
      </w:r>
    </w:p>
    <w:p>
      <w:pPr>
        <w:pStyle w:val="TextBody"/>
        <w:bidi w:val="0"/>
        <w:spacing w:lineRule="auto" w:line="288" w:before="120" w:after="283"/>
        <w:jc w:val="both"/>
        <w:rPr/>
      </w:pPr>
      <w:r>
        <w:rPr>
          <w:rFonts w:ascii="Times New Roman;serif" w:hAnsi="Times New Roman;serif"/>
          <w:b/>
          <w:i/>
          <w:color w:val="000000"/>
          <w:sz w:val="20"/>
        </w:rPr>
        <w:t xml:space="preserve">Business Combinations </w:t>
      </w:r>
      <w:r>
        <w:rPr>
          <w:color w:val="000000"/>
        </w:rPr>
        <w:t xml:space="preserve">– </w:t>
      </w:r>
      <w:r>
        <w:rPr>
          <w:rFonts w:ascii="Times New Roman;serif" w:hAnsi="Times New Roman;serif"/>
          <w:b w:val="false"/>
          <w:color w:val="000000"/>
          <w:sz w:val="20"/>
        </w:rPr>
        <w:t>In accordance with ASC 805, “Business Combinations,” the Company uses the acquisition method of accounting to allocate costs of acquired businesses to the assets acquired and liabilities assumed based on their estimated fair values at the dates of acquisition. The excess costs of acquired businesses over the fair values of the assets acquired and liabilities assumed were recognized as goodwill. The valuations of the acquired assets and liabilities assumed will impact the determination of future operating results. Determining the fair value of assets acquired and liabilities assumed requires management’s judgment and often involves the use of estimates and assumptions which may be significant, including assumptions with respect to future cash inflows and outflows, revenue growth rates and earnings before interest, taxes, depreciation and amortization (“EBITDA”) margins, discount rates, customer attrition rates, royalty rates, asset lives and market multiples, among other items. These assumptions are forward looking and could be affected by future economic and market conditions. We determine the fair values of intangible assets acquired generally in consultation with third-party valuation advisors. Fair value adjustments to the Company’s assets and liabilities are recognized and the results of operations of the acquired business are included in our consolidated financial statements from the effective date of the merger or acquisition. Intangible assets other than goodwill are recognized if the benefit of the intangible asset is obtained through contractual or other legal rights, or if the intangible asset can be sold, transferred, licensed or exchanged, regardless of the Company’s intent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is the excess of the purchase price paid over the estimated fair value of the net assets of a business acquired. Other intangible assets consist of identifiable intangibles acquired or recognized in accounting for the acquisitions (trademarks, trade names, technology, customer relationships, order backlog and other intangible assets). Goodwill and intangible assets that have indefinite useful lives (i.e., trademarks and trade names) are subject to annual impairment testing or when indicators are present. Management determines fair value using a discounted future cash flow analysis or other accepted valuation techniques. Acquisition transaction-related expenses for the fiscal years ended September 30, 2025, 2024 and 2023 totaled approximately $6 million, $33 million and $6 million, respectively. These costs are expensed when incurred and included in selling and administrative expenses in the consolidated statements of income.</w:t>
      </w:r>
    </w:p>
    <w:p>
      <w:pPr>
        <w:pStyle w:val="TextBody"/>
        <w:bidi w:val="0"/>
        <w:spacing w:lineRule="auto" w:line="288" w:before="120" w:after="283"/>
        <w:jc w:val="both"/>
        <w:rPr/>
      </w:pPr>
      <w:r>
        <w:rPr>
          <w:rFonts w:ascii="Times New Roman;serif" w:hAnsi="Times New Roman;serif"/>
          <w:b/>
          <w:i/>
          <w:color w:val="000000"/>
          <w:sz w:val="20"/>
        </w:rPr>
        <w:t xml:space="preserve">Goodwill and Other Intangible Assets </w:t>
      </w:r>
      <w:r>
        <w:rPr>
          <w:color w:val="000000"/>
        </w:rPr>
        <w:t xml:space="preserve">– </w:t>
      </w:r>
      <w:r>
        <w:rPr>
          <w:rFonts w:ascii="Times New Roman;serif" w:hAnsi="Times New Roman;serif"/>
          <w:b w:val="false"/>
          <w:color w:val="000000"/>
          <w:sz w:val="20"/>
        </w:rPr>
        <w:t>The Company performs an annual impairment test for goodwill and other intangible assets as of the first day of the fourth fiscal quarter of each year, or more frequently, if an event occurs or circumstances change that would more likely than not reduce fair value below carrying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may elect to perform a qualitative assessment that considers economic, industry and company-specific factors for all or selected reporting units. If, after completing this assessment, it is determined that it is more-likely-than-not that the fair value of a reporting unit is less than its carrying value, we proceed to a quantitative test. We may also elect to perform a quantitative test instead of a qualitative assessment for any or all of our reporting units. In this application, the definition of “more-likely-than-not” is interpreted as a likelihood of more than 50%. For the quantitative test, management determines the estimated fair value through the use of a discounted cash flow valuation model incorporating discount rates commensurate with the risks involved for each reporting unit. If the estimated fair value of the reporting unit is less than the current carrying value, impairment of goodwill of the reporting unit is recognized. The assumptions used in the discounted cash flow valuation model for impairment testing includes discount rates, revenue growth rates and EBITDA margins, cash flow projections and terminal value rates. Discount rates are set by using the weighted average cost of capital (“WACC”) methodology.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GAAP requires that the annual, and any interim, impairment assessment be performed at the reporting unit level. Our reporting units have been identified at the operating unit level, which is one level below our operating segments. Substantially all goodwill was determined and recognized for each reporting unit pursuant to the accounting for the merger or acquisition as of the date of each transaction. With respect to acquisitions integrated into an existing reporting unit, any acquired goodwill is combined with the goodwill of the reporting unit.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impairment test for indefinite lived intangible assets consists of a comparison between their fair values and carrying values. If the carrying amounts of intangible assets that have indefinite useful lives exceed their fair values, an impairment loss will be recognized in an amount equal to the sum of any such excesses.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first day of the fourth quarter of fiscal 2025, the date of the annual impairment test, no indefinite-lived intangible assets or goodwill was determined to be impaired. As economic and market conditions have not changed significantly since the first day of the fourth quarter, this conclusion remains appropriate as of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recoverability of its amortizable intangible assets only when indicators of impairment are present by determining whether the carrying value can be recovered through projected, undiscounted cash flows from future operations over their remaining lives. Amortization of amortizable intangible assets is computed using the straight-line method over the following general estimated useful lives: technology &amp; other from 10 to 22 years, order backlog from 1 to 3 years, customer relationships from 10 to 20 years, and other intangible assets over 20 years. No indicators of impairment on the amortizable intangible assets were identified in fiscal 2025, 2024 or 2023.</w:t>
      </w:r>
    </w:p>
    <w:p>
      <w:pPr>
        <w:pStyle w:val="TextBody"/>
        <w:bidi w:val="0"/>
        <w:spacing w:lineRule="auto" w:line="288" w:before="120" w:after="283"/>
        <w:jc w:val="both"/>
        <w:rPr/>
      </w:pPr>
      <w:r>
        <w:rPr>
          <w:rFonts w:ascii="Times New Roman;serif" w:hAnsi="Times New Roman;serif"/>
          <w:b/>
          <w:i/>
          <w:color w:val="000000"/>
          <w:sz w:val="20"/>
        </w:rPr>
        <w:t xml:space="preserve">Stock-Based Compensation </w:t>
      </w:r>
      <w:r>
        <w:rPr>
          <w:color w:val="000000"/>
        </w:rPr>
        <w:t xml:space="preserve">– </w:t>
      </w:r>
      <w:r>
        <w:rPr>
          <w:rFonts w:ascii="Times New Roman;serif" w:hAnsi="Times New Roman;serif"/>
          <w:b w:val="false"/>
          <w:color w:val="000000"/>
          <w:sz w:val="20"/>
        </w:rPr>
        <w:t>The Company records stock-based compensation expense using the Black-Scholes pricing model based on certain valuation assumptions. Compensation expense is recorded over the vesting periods of the stock options, adjusted for expected forfeitures. The Company has classified stock-based compensation primarily within selling and administrative expenses to correspond with the classification of employees that receive stock option grants. The Company also evaluates any subsequent changes to the respective option holders terms under the modification rules of ASC 718. If determined to be a modification, the Black-Scholes pricing model is updated as of the date of the modification resulting in a cumulative catch up to expense, if necessary. Refer to Note 16, “Stock-Based Compensation,”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Income Taxes </w:t>
      </w:r>
      <w:r>
        <w:rPr>
          <w:color w:val="000000"/>
        </w:rPr>
        <w:t xml:space="preserve">– </w:t>
      </w:r>
      <w:r>
        <w:rPr>
          <w:rFonts w:ascii="Times New Roman;serif" w:hAnsi="Times New Roman;serif"/>
          <w:b w:val="false"/>
          <w:color w:val="000000"/>
          <w:sz w:val="20"/>
        </w:rPr>
        <w:t>The provision for income taxes is calculated using the asset and liability method. Under the asset and liability method, deferred income taxes are recognized for the tax effect of temporary differences between the financial statement carrying amount of assets and liabilities and the amounts used for income tax purposes and for certain changes in valuation allowances. Valuation allowances are recorded to reduce certain deferred tax assets when, in our estimation, it is more likely than not that a tax benefit will not be realized. We recognize uncertain tax positions when we have determined it is more likely than not that a tax position will be sustained upon examination. However, new information may become available, or applicable laws or regulations may change, thereby resulting in a favorable or unfavorable adjustment to amounts recorded. Taxes related to Global Intangible Low-Taxed Income (“GILTI”) are treated as a current period expense when incurred. Refer to Note 12, “Income Taxes,” for further information.</w:t>
      </w:r>
    </w:p>
    <w:p>
      <w:pPr>
        <w:pStyle w:val="TextBody"/>
        <w:bidi w:val="0"/>
        <w:spacing w:lineRule="auto" w:line="288" w:before="120" w:after="283"/>
        <w:jc w:val="both"/>
        <w:rPr/>
      </w:pPr>
      <w:r>
        <w:rPr>
          <w:rFonts w:ascii="Times New Roman;serif" w:hAnsi="Times New Roman;serif"/>
          <w:b/>
          <w:i/>
          <w:color w:val="000000"/>
          <w:sz w:val="20"/>
        </w:rPr>
        <w:t xml:space="preserve">Comprehensive Income (Loss) </w:t>
      </w:r>
      <w:r>
        <w:rPr>
          <w:color w:val="000000"/>
        </w:rPr>
        <w:t xml:space="preserve">– </w:t>
      </w:r>
      <w:r>
        <w:rPr>
          <w:rFonts w:ascii="Times New Roman;serif" w:hAnsi="Times New Roman;serif"/>
          <w:b w:val="false"/>
          <w:color w:val="000000"/>
          <w:sz w:val="20"/>
        </w:rPr>
        <w:t>The term “comprehensive income (loss)” represents the change in stockholders’ equity (deficit) from transactions and other events and circumstances resulting from non-stockholder sources. The Company’s accumulated other comprehensive income or loss, consisting principally of fair value adjustments to its interest rate swap, cap and collar agreements (net of tax), cumulative foreign currency translation adjustments and pension liability adjustments (net of tax), is reported separately in the accompanying consolidated statements of comprehensive income.</w:t>
      </w:r>
    </w:p>
    <w:p>
      <w:pPr>
        <w:pStyle w:val="TextBody"/>
        <w:bidi w:val="0"/>
        <w:spacing w:lineRule="auto" w:line="288" w:before="120" w:after="283"/>
        <w:jc w:val="both"/>
        <w:rPr/>
      </w:pPr>
      <w:r>
        <w:rPr>
          <w:rFonts w:ascii="Times New Roman;serif" w:hAnsi="Times New Roman;serif"/>
          <w:b/>
          <w:i/>
          <w:color w:val="000000"/>
          <w:sz w:val="20"/>
        </w:rPr>
        <w:t xml:space="preserve">Foreign Currency Translation and Transactions </w:t>
      </w:r>
      <w:r>
        <w:rPr>
          <w:color w:val="000000"/>
        </w:rPr>
        <w:t xml:space="preserve">– </w:t>
      </w:r>
      <w:r>
        <w:rPr>
          <w:rFonts w:ascii="Times New Roman;serif" w:hAnsi="Times New Roman;serif"/>
          <w:b w:val="false"/>
          <w:color w:val="000000"/>
          <w:sz w:val="20"/>
        </w:rPr>
        <w:t>The assets and liabilities of subsidiaries located outside the United States are translated into U.S. dollars at the rates of exchange in effect at the balance sheet dates. Revenue and expense items are translated at the average monthly exchange rates prevailing during the period. Gains and losses resulting from foreign currency transactions are recognized currently in income and those resulting from translation of financial statements, including gains and losses from certain intercompany transactions, are accumulated as a separate component of other comprehensive income (loss) for the period. Foreign currency losses or (gains) recognized in cost of sales on the consolidated statements of income from changes in exchange rates were $10 million, $20 million and $14 million for the fiscal years ended September 30, 2025, 2024 and 2023, respectively.</w:t>
      </w:r>
    </w:p>
    <w:p>
      <w:pPr>
        <w:pStyle w:val="TextBody"/>
        <w:bidi w:val="0"/>
        <w:spacing w:lineRule="auto" w:line="288" w:before="120" w:after="283"/>
        <w:jc w:val="both"/>
        <w:rPr/>
      </w:pPr>
      <w:r>
        <w:rPr>
          <w:rFonts w:ascii="Times New Roman;serif" w:hAnsi="Times New Roman;serif"/>
          <w:b/>
          <w:i/>
          <w:color w:val="000000"/>
          <w:sz w:val="20"/>
        </w:rPr>
        <w:t xml:space="preserve">Earnings per Share </w:t>
      </w:r>
      <w:r>
        <w:rPr>
          <w:color w:val="000000"/>
        </w:rPr>
        <w:t xml:space="preserve">– </w:t>
      </w:r>
      <w:r>
        <w:rPr>
          <w:rFonts w:ascii="Times New Roman;serif" w:hAnsi="Times New Roman;serif"/>
          <w:b w:val="false"/>
          <w:color w:val="000000"/>
          <w:sz w:val="20"/>
        </w:rPr>
        <w:t>Earnings per share information is determined using the two-class method, which includes the weighted-average number of common shares outstanding during the period and other securities that participate in cash dividends (“participating securities”). Our vested stock options are considered “participating securities” because they include non-forfeitable rights to cash dividends. In applying the two-class method, earnings are allocated to both common shares and participating securities based on their respective weighted-average shares outstanding for the period. Diluted earnings per share information may include the additional effect of other securities, if dilutive, in which case the dilutive effect of such securities is calculated using the treasury stock method. Contingently issuable shares are not included in earnings per share until the period in which the contingency is satisfied. Refer to Note 4, “Earnings Per Share,” for further information.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New Accounting Pronouncements Adopted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November 2023, the FASB issued ASU 2023-07, “Segment Reporting (Topic 280): Improvements to Reportable Segment Disclosures.” ASU 2023-07 expands disclosures about a public business entity's reportable segments and provides for more detailed information about a reportable segment's expenses. Additionally, ASU 2023-07 requires all segment profit or loss and assets disclosures to be provided on an annual and interim basis. This standard is effective for annual periods beginning after December 15, 2023 (fiscal 2025) and interim periods within fiscal years beginning one year later (fiscal 2026). The Company adopted this standard in the fourth quarter of fiscal 2025. Refer to Note 15, “Segments,” for further information.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New Accounting Pronouncements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ASU 2023-09, “Income Taxes (Topic 740): Improvements to Income Tax Disclosures,” which requires a public business entity to disclose specific categories in its annual effective tax rate reconciliation and disaggregated information about significant reconciling items by jurisdiction and by nature. The ASU also requires entities to disclose their income tax payments (net of refunds) to international, federal, and state and local jurisdictions. The standard makes several other changes to income tax disclosure requirements. This standard is effective for annual periods beginning after December 15, 2024 (fiscal 2026), and requires prospective application with the option to apply it retrospectively. Early adoption is permitted. The Company is currently evaluating this standard to determine its impact on our disclosures and believe that the adoption will not have a material impact on the consolidated financial statements and related disclosures.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Additionally, in January 2025, the FASB issued ASU 2025-01 to clarify the effective date of ASU 2024-03. The standard requires, among other items, additional disaggregated disclosures in the notes to financial statements for certain categories of expenses that are included on the face of the statement of income. The standard is effective for fiscal years beginning after December 15, 2026 (fiscal 2028), and for interim periods within fiscal years beginning after December 15, 2027 (fiscal 2029), on a retrospective or prospective basis, with early adoption permitted. The Company is currently evaluating this standard to determine its impact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120" w:after="283"/>
        <w:jc w:val="both"/>
        <w:rPr/>
      </w:pPr>
      <w:r>
        <w:rPr>
          <w:rFonts w:ascii="Times New Roman;serif" w:hAnsi="Times New Roman;serif"/>
          <w:b/>
          <w:i/>
          <w:color w:val="000000"/>
          <w:sz w:val="20"/>
        </w:rPr>
        <w:t xml:space="preserve">Simmonds Precision Products, Inc. – </w:t>
      </w:r>
      <w:r>
        <w:rPr>
          <w:rFonts w:ascii="Times New Roman;serif" w:hAnsi="Times New Roman;serif"/>
          <w:b w:val="false"/>
          <w:color w:val="000000"/>
          <w:sz w:val="20"/>
        </w:rPr>
        <w:t>On June 30, 2025, the Company entered into a definitive agreement to acquire all the outstanding stock of the Simmonds Precision Products, Inc. Business (“Simmonds”) of Goodrich Corporation from RTX Corporation for approximately $757 million in cash. On October 6, 2025, the acquisition was completed. The acquisition was financed through existing cash on hand. Simmonds, headquartered in Vergennes, Vermont, is a leading global designer and manufacturer of fuel &amp; proximity sensing and structural health monitoring solutions for the aerospace and defense end markets. The Company’s products are highly engineered, proprietary components with significant aftermarket content and a strong presence across major aerospace and defense platforms. The operating results of Simmonds will be included within TransDigm's Power &amp; Control segment.</w:t>
      </w:r>
    </w:p>
    <w:p>
      <w:pPr>
        <w:pStyle w:val="TextBody"/>
        <w:bidi w:val="0"/>
        <w:spacing w:lineRule="auto" w:line="288" w:before="120" w:after="283"/>
        <w:jc w:val="both"/>
        <w:rPr/>
      </w:pPr>
      <w:r>
        <w:rPr>
          <w:rFonts w:ascii="Times New Roman;serif" w:hAnsi="Times New Roman;serif"/>
          <w:b/>
          <w:i/>
          <w:color w:val="000000"/>
          <w:sz w:val="20"/>
        </w:rPr>
        <w:t xml:space="preserve">Servotronics, Inc. – </w:t>
      </w:r>
      <w:r>
        <w:rPr>
          <w:rFonts w:ascii="Times New Roman;serif" w:hAnsi="Times New Roman;serif"/>
          <w:b w:val="false"/>
          <w:color w:val="000000"/>
          <w:sz w:val="20"/>
        </w:rPr>
        <w:t>On June 2, 2025, the Company launched a tender offer to acquire all the issued and outstanding stock of Servotronics, Inc. (“Servotronics”), at a price of $47.00 per share in cash. On July 1, 2025, the tender offer expired, resulting in all issued and outstanding stock of Servotronics being canceled and Servotronics becoming a wholly owned subsidiary of the Company. The total purchase price was approximately $133 million in cash, which was financed through existing cash on hand. Servotronics, headquartered in Elma, New York, is a leading global designer and manufacturer of servo controls and other advanced technology components for aerospace and defense applications. Its products are highly engineered, proprietary components with significant aftermarket content and a strong presence across major aerospace and defense platforms. The operating results of Servotronics are included within TransDigm's Power &amp; Control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fair value of the assets acquired and liabilities assumed, $75 million of goodwill and $46 million of other intangible assets was recognized for the acquisition as of September 30, 2025, none of which is expected to be deductible for tax purposes. As of September 30, 2025, the measurement period (not to exceed one year) is open; therefore, the assets acquired and liabilities assumed are subject to adjustment until the end of the measurement period.</w:t>
      </w:r>
    </w:p>
    <w:p>
      <w:pPr>
        <w:pStyle w:val="TextBody"/>
        <w:bidi w:val="0"/>
        <w:spacing w:lineRule="auto" w:line="288" w:before="120" w:after="283"/>
        <w:jc w:val="both"/>
        <w:rPr/>
      </w:pPr>
      <w:r>
        <w:rPr>
          <w:rFonts w:ascii="Times New Roman;serif" w:hAnsi="Times New Roman;serif"/>
          <w:b/>
          <w:i/>
          <w:color w:val="000000"/>
          <w:sz w:val="20"/>
        </w:rPr>
        <w:t xml:space="preserve">Raptor Scientific </w:t>
      </w:r>
      <w:r>
        <w:rPr>
          <w:color w:val="000000"/>
        </w:rPr>
        <w:t xml:space="preserve">– </w:t>
      </w:r>
      <w:r>
        <w:rPr>
          <w:rFonts w:ascii="Times New Roman;serif" w:hAnsi="Times New Roman;serif"/>
          <w:b w:val="false"/>
          <w:color w:val="000000"/>
          <w:sz w:val="20"/>
        </w:rPr>
        <w:t>On July 31, 2024, the Company acquired all the outstanding stock of Raptor Scientific for approximately $646 million in cash. The acquisition was financed through existing cash on hand. Raptor Scientific is a leading global manufacturer of complex test and measurement solutions primarily serving the aerospace and defense end markets. Its products are highly engineered, proprietary components with significant aftermarket content and a strong presence across major aerospace and defense platforms. The operating results of Raptor Scientific are included within TransDigm's Airframe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the fair value of the assets acquired and liabilities assumed, $365 million of goodwill and $264 million of other intangible assets was recognized for the acquisition. Of the $365 million of goodwill recognized for the acquisition, $350 million is deductible for tax purposes. Of the $264 million of other intangible assets recognized for the acquisition, $251 million is deductible for tax purposes. The goodwill and intangible assets are deductible over 15 years.</w:t>
      </w:r>
    </w:p>
    <w:p>
      <w:pPr>
        <w:pStyle w:val="TextBody"/>
        <w:bidi w:val="0"/>
        <w:spacing w:lineRule="auto" w:line="288" w:before="120" w:after="283"/>
        <w:jc w:val="both"/>
        <w:rPr/>
      </w:pPr>
      <w:r>
        <w:rPr>
          <w:rFonts w:ascii="Times New Roman;serif" w:hAnsi="Times New Roman;serif"/>
          <w:b/>
          <w:i/>
          <w:color w:val="000000"/>
          <w:sz w:val="20"/>
        </w:rPr>
        <w:t xml:space="preserve">CPI's Electron Device Business </w:t>
      </w:r>
      <w:r>
        <w:rPr>
          <w:color w:val="000000"/>
        </w:rPr>
        <w:t xml:space="preserve">– </w:t>
      </w:r>
      <w:r>
        <w:rPr>
          <w:rFonts w:ascii="Times New Roman;serif" w:hAnsi="Times New Roman;serif"/>
          <w:b w:val="false"/>
          <w:color w:val="000000"/>
          <w:sz w:val="20"/>
        </w:rPr>
        <w:t>On June 6, 2024, the Company acquired all the outstanding stock of the Electron Device Business of Communications &amp; Power Industries (“CPI's Electron Device Business”) for approximately $1,386 million in cash. The acquisition was financed through existing cash on hand. CPI’s Electron Device Business is a leading global manufacturer of electronic components and subsystems primarily serving the aerospace and defense market. Its products are highly engineered, proprietary components with significant aftermarket content and a strong presence across major aerospace and defense platforms. The operating results of CPI’s Electron Device Business are included within TransDigm's Power &amp; Control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fair value of the assets acquired and liabilities assumed, $763 million of goodwill and $509 million of other intangible assets was recognized for the acquisition, none of which is deductible for tax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pPr>
      <w:r>
        <w:rPr>
          <w:rFonts w:ascii="Times New Roman;serif" w:hAnsi="Times New Roman;serif"/>
          <w:b/>
          <w:i/>
          <w:color w:val="000000"/>
          <w:sz w:val="20"/>
        </w:rPr>
        <w:t xml:space="preserve">Other Acquisitions </w:t>
      </w:r>
      <w:r>
        <w:rPr>
          <w:color w:val="000000"/>
        </w:rPr>
        <w:t xml:space="preserve">– </w:t>
      </w:r>
      <w:r>
        <w:rPr>
          <w:rFonts w:ascii="Times New Roman;serif" w:hAnsi="Times New Roman;serif"/>
          <w:b w:val="false"/>
          <w:color w:val="000000"/>
          <w:sz w:val="20"/>
        </w:rPr>
        <w:t>For the fiscal year ended September 30, 2025, the Company completed a number of acquisitions consisting of substantially all of the assets and technical data rights of certain product lines or all the outstanding stock of certain businesses (collectively, referred to herein as the “Other Acquisitions”), each meeting the definition of a business, for a total aggregate purchase price of $285 million in cash. Each of the acquisitions was financed through existing cash on hand. The operating results of the acquisitions, which represent bolt-ons to existing TransDigm operating units, are presented within TransDigm's Power &amp; Control or Airframe segment. The Company expects that all of the $126 million of goodwill and $90 million of other intangible assets recognized as of September 30, 2025 for the acquisitions will be deductible for tax purposes over 15 years. As of September 30, 2025, the measurement period (not to exceed one year) is open for certain Other Acquisitions; therefore, the assets acquired and liabilities assumed are subject to adjustment until the end of the respective measurement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fiscal year ended September 30, 2024, the Company completed a number of Other Acquisitions for a total aggregate purchase price of $314 million in cash. Each of the acquisitions was financed through existing cash on hand. The operating results of the acquisitions, which represent bolt-ons to existing TransDigm operating units, are presented within TransDigm's Power &amp; Control or Airframe segment. Of the $182 million of goodwill recognized for the acquisitions, $49 million is deductible for tax purposes over 15 years. Of the $116 million of other intangible assets recognized for the acquisitions, $22 million is deductible for tax purposes over 15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 forma net sales and results of operations for the acquisitions, had they occurred at the beginning of the fiscal years ended September 30, 2025 or September 30, 2024 are not material and, accordingly, are not provided.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acquisitions completed by the Company strengthen and expand the Company’s position to design, produce and supply highly engineered proprietary aerospace components in niche markets with significant aftermarket content and provide opportunities to create value through the application of our three core value-driven operating strategy (obtaining profitable new business, continually improving our cost structure, and providing highly engineered value-added products to customers). The purchase prices paid reflect the current EBITDA As Defined and cash flows, as well as the future EBITDA As Defined and cash flows expected to be generated by the businesses, which are driven in most cases by the recurring aftermarket consumption over the life of a particular aircraft, estimated to be approximately 25 to 30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TransDigm's sales are concentrated in the aerospace and defense industry. The Company’s customers include: distributors of aerospace components, commercial airlines, large commercial transport and regional and business aircraft original equipment manufacturers (“OEMs”), various armed forces of the U.S. and friendly foreign governments, defense OEMs, system suppliers, and various other industrial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from contracts with customers using the five step model prescribed in ASC 606. A substantial portion of the Company's revenue is recorded at a point in time basis. Revenue is recognized from the sale of products or services when obligations under the terms of the contract are satisfied and control of promised goods or services have transferred to the customer. Control is transferred when the customer has the ability to direct the use of and obtain benefits from the goods or services. Revenue is measured at the amount of consideration the Company expects to be paid in exchange for goods or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 limited number of contracts, control transfers to the customer over time, primarily in contracts where the customer is required to pay for the cost of both the finished and unfinished goods at the time of cancellation plus a reasonable profit relative to the work performed for products that were customized for the customer. Therefore, we recognize revenue over time for those agreements that have a right to margin and where the products being produced have no alternative use.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Based on our production cycle, it is generally expected that goods related to the revenue will be shipped and billed within twelve months. For revenue recognized over time, we estimate the amount of revenue attributable to a contract earned at a given point during the production cycle based on certain costs, such as materials and labor incurred to date, plus the expected profit, which is a cost-to-cost input method.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consider the contractual consideration payable by the customer and assess variable consideration that may affect the total transaction price. Variable consideration is included in the estimated transaction price when there is a basis to reasonably estimate the amount, including whether the estimate should be constrained in order to avoid a significant reversal of revenue in a future period. These estimates are based on historical experience, anticipated performance under the terms of the contract and our best judgment at the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 existing contract. The effect of a contract modification to an existing contract on the transaction price and our measure of progress for the performance obligation to which it relates, is recognized as an adjustment to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payment terms vary by the type and location of the customer and the products or services offered. The Company does not offer any payment terms that would meet the requirements for consideration as a significant financing component.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Shipping and handling fees and costs incurred in connection with products sold are recorded in cost of sales in the consolidated statements of income, and are not considered a performance obligation to our customers.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pays sales commissions that relate to contracts for products or services that are satisfied at a point in time or over a period of one year or less and are expensed as incurred. These costs are reported as a component of selling and administrative expenses in the consolidated statements of income.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2025, 2024 and 2023, no customer individually accounted for 10% or more of the Company’s net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to foreign customers, primarily in Western Europe, Canada and Asia, were $3,296 million, $2,908 million and $2,320 million during the fiscal years ended September 30, 2025, 2024 and 2023,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elected to adopt the practical expedient to not disclose the aggregate amount of transaction price allocated to performance obligations that are unsatisfied as of the end of the reporting period for performance obligations that are part of a contract with an original expected duration of one year or less.</w:t>
      </w:r>
    </w:p>
    <w:p>
      <w:pPr>
        <w:pStyle w:val="TextBody"/>
        <w:bidi w:val="0"/>
        <w:spacing w:lineRule="auto" w:line="288" w:before="120" w:after="283"/>
        <w:jc w:val="both"/>
        <w:rPr/>
      </w:pPr>
      <w:r>
        <w:rPr>
          <w:rFonts w:ascii="Times New Roman;serif" w:hAnsi="Times New Roman;serif"/>
          <w:b/>
          <w:i/>
          <w:color w:val="000000"/>
          <w:sz w:val="20"/>
        </w:rPr>
        <w:t xml:space="preserve">Contract Assets and Liabilities </w:t>
      </w:r>
      <w:r>
        <w:rPr>
          <w:color w:val="000000"/>
        </w:rPr>
        <w:t xml:space="preserve">– </w:t>
      </w:r>
      <w:r>
        <w:rPr>
          <w:rFonts w:ascii="Times New Roman;serif" w:hAnsi="Times New Roman;serif"/>
          <w:b w:val="false"/>
          <w:color w:val="000000"/>
          <w:sz w:val="20"/>
        </w:rPr>
        <w:t>Contract assets reflect revenue recognized and performance obligations satisfied in advance of customer billing or reimbursable costs related to a specific contract. Contract liabilities (Deferred revenue) relate to payments received in advance of the satisfaction of performance under the contract. We receive payments from customers based on the terms established in our contracts. The following table summarizes our contract assets and liabilities balances (in millions):</w:t>
      </w:r>
    </w:p>
    <w:tbl>
      <w:tblPr>
        <w:tblW w:w="6356" w:type="dxa"/>
        <w:jc w:val="left"/>
        <w:tblInd w:w="0" w:type="dxa"/>
        <w:tblLayout w:type="fixed"/>
        <w:tblCellMar>
          <w:top w:w="28" w:type="dxa"/>
          <w:left w:w="28" w:type="dxa"/>
          <w:bottom w:w="28" w:type="dxa"/>
          <w:right w:w="28" w:type="dxa"/>
        </w:tblCellMar>
      </w:tblPr>
      <w:tblGrid>
        <w:gridCol w:w="1048"/>
        <w:gridCol w:w="921"/>
        <w:gridCol w:w="926"/>
        <w:gridCol w:w="413"/>
        <w:gridCol w:w="915"/>
        <w:gridCol w:w="216"/>
        <w:gridCol w:w="109"/>
        <w:gridCol w:w="109"/>
        <w:gridCol w:w="109"/>
        <w:gridCol w:w="402"/>
        <w:gridCol w:w="891"/>
        <w:gridCol w:w="297"/>
      </w:tblGrid>
      <w:tr>
        <w:trPr/>
        <w:tc>
          <w:tcPr>
            <w:tcW w:w="10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current </w:t>
            </w:r>
            <w:r>
              <w:rPr>
                <w:rFonts w:ascii="Times New Roman;serif" w:hAnsi="Times New Roman;serif"/>
                <w:b w:val="false"/>
                <w:color w:val="000000"/>
                <w:sz w:val="13"/>
              </w:rPr>
              <w:t>(1)</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assets, non-current </w:t>
            </w:r>
            <w:r>
              <w:rPr>
                <w:rFonts w:ascii="Times New Roman;serif" w:hAnsi="Times New Roman;serif"/>
                <w:b w:val="false"/>
                <w:color w:val="000000"/>
                <w:sz w:val="13"/>
              </w:rPr>
              <w:t>(2)</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assets</w:t>
            </w:r>
          </w:p>
        </w:tc>
        <w:tc>
          <w:tcPr>
            <w:tcW w:w="132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9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current </w:t>
            </w:r>
            <w:r>
              <w:rPr>
                <w:rFonts w:ascii="Times New Roman;serif" w:hAnsi="Times New Roman;serif"/>
                <w:b w:val="false"/>
                <w:color w:val="000000"/>
                <w:sz w:val="13"/>
              </w:rPr>
              <w:t>(3)</w:t>
            </w:r>
          </w:p>
        </w:tc>
        <w:tc>
          <w:tcPr>
            <w:tcW w:w="13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417" w:before="0" w:after="0"/>
              <w:jc w:val="left"/>
              <w:rPr/>
            </w:pPr>
            <w:r>
              <w:rPr>
                <w:rFonts w:ascii="Times New Roman;serif" w:hAnsi="Times New Roman;serif"/>
                <w:b w:val="false"/>
                <w:color w:val="000000"/>
                <w:sz w:val="20"/>
              </w:rPr>
              <w:t xml:space="preserve">Contract liabilities, non-current </w:t>
            </w:r>
            <w:r>
              <w:rPr>
                <w:rFonts w:ascii="Times New Roman;serif" w:hAnsi="Times New Roman;serif"/>
                <w:b w:val="false"/>
                <w:color w:val="000000"/>
                <w:sz w:val="13"/>
              </w:rPr>
              <w:t>(4)</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contract liabilities</w:t>
            </w:r>
          </w:p>
        </w:tc>
        <w:tc>
          <w:tcPr>
            <w:tcW w:w="132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contract assets</w:t>
            </w:r>
          </w:p>
        </w:tc>
        <w:tc>
          <w:tcPr>
            <w:tcW w:w="4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non-current assets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consolidated balance sheets.</w:t>
      </w:r>
    </w:p>
    <w:p>
      <w:pPr>
        <w:pStyle w:val="TextBody"/>
        <w:bidi w:val="0"/>
        <w:spacing w:lineRule="auto" w:line="288" w:before="160" w:after="283"/>
        <w:jc w:val="both"/>
        <w:rPr/>
      </w:pPr>
      <w:r>
        <w:rPr>
          <w:rFonts w:ascii="Times New Roman;serif" w:hAnsi="Times New Roman;serif"/>
          <w:b w:val="false"/>
          <w:color w:val="000000"/>
          <w:sz w:val="20"/>
          <w:shd w:fill="FFFFFF" w:val="clear"/>
        </w:rPr>
        <w:t xml:space="preserve">The increase in non-current contract assets is attributable to expected customer billing of certain contracts exceeding one year from </w:t>
      </w:r>
      <w:r>
        <w:rPr>
          <w:rFonts w:ascii="Times New Roman;serif" w:hAnsi="Times New Roman;serif"/>
          <w:b w:val="false"/>
          <w:color w:val="000000"/>
          <w:sz w:val="20"/>
        </w:rPr>
        <w:t>September 30, 2025. For the fiscal year ended September 30, 2025, the revenue recognized that was included in the contract liability balance at the beginning of the fiscal year was approximately $125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 to Note 15, “Segments,” for disclosures related to the disaggregation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4.    EARNINGS PER SHARE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data) using the two-class method:</w:t>
      </w:r>
    </w:p>
    <w:tbl>
      <w:tblPr>
        <w:tblW w:w="10205" w:type="dxa"/>
        <w:jc w:val="left"/>
        <w:tblInd w:w="0" w:type="dxa"/>
        <w:tblLayout w:type="fixed"/>
        <w:tblCellMar>
          <w:top w:w="28" w:type="dxa"/>
          <w:left w:w="28" w:type="dxa"/>
          <w:bottom w:w="28" w:type="dxa"/>
          <w:right w:w="28" w:type="dxa"/>
        </w:tblCellMar>
      </w:tblPr>
      <w:tblGrid>
        <w:gridCol w:w="2445"/>
        <w:gridCol w:w="2119"/>
        <w:gridCol w:w="2133"/>
        <w:gridCol w:w="211"/>
        <w:gridCol w:w="616"/>
        <w:gridCol w:w="109"/>
        <w:gridCol w:w="109"/>
        <w:gridCol w:w="109"/>
        <w:gridCol w:w="109"/>
        <w:gridCol w:w="211"/>
        <w:gridCol w:w="616"/>
        <w:gridCol w:w="109"/>
        <w:gridCol w:w="109"/>
        <w:gridCol w:w="109"/>
        <w:gridCol w:w="109"/>
        <w:gridCol w:w="211"/>
        <w:gridCol w:w="616"/>
        <w:gridCol w:w="155"/>
      </w:tblGrid>
      <w:tr>
        <w:trPr/>
        <w:tc>
          <w:tcPr>
            <w:tcW w:w="244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66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 for earnings per share:</w:t>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TD Group</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declared or paid on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TD Group common stockholders—basic and diluted</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 for basic and diluted earnings per share under the two-class method: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options deemed participating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for basic and diluted earnings per share</w:t>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Earnings per share—basic and diluted </w:t>
            </w:r>
            <w:r>
              <w:rPr>
                <w:rFonts w:ascii="Times New Roman;serif" w:hAnsi="Times New Roman;serif"/>
                <w:b/>
                <w:color w:val="000000"/>
                <w:sz w:val="13"/>
              </w:rPr>
              <w:t>(1)</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Figures in the table may not recalculate exactly due to rounding. Earnings per share is calculated using unrounded numbers.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TRADE ACCOUNTS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accounts receivable consist of the following (in millions):</w:t>
      </w:r>
    </w:p>
    <w:tbl>
      <w:tblPr>
        <w:tblW w:w="6612" w:type="dxa"/>
        <w:jc w:val="left"/>
        <w:tblInd w:w="0" w:type="dxa"/>
        <w:tblLayout w:type="fixed"/>
        <w:tblCellMar>
          <w:top w:w="28" w:type="dxa"/>
          <w:left w:w="28" w:type="dxa"/>
          <w:bottom w:w="28" w:type="dxa"/>
          <w:right w:w="28" w:type="dxa"/>
        </w:tblCellMar>
      </w:tblPr>
      <w:tblGrid>
        <w:gridCol w:w="1142"/>
        <w:gridCol w:w="1002"/>
        <w:gridCol w:w="1006"/>
        <w:gridCol w:w="348"/>
        <w:gridCol w:w="1017"/>
        <w:gridCol w:w="180"/>
        <w:gridCol w:w="109"/>
        <w:gridCol w:w="109"/>
        <w:gridCol w:w="109"/>
        <w:gridCol w:w="342"/>
        <w:gridCol w:w="999"/>
        <w:gridCol w:w="249"/>
      </w:tblGrid>
      <w:tr>
        <w:trPr/>
        <w:tc>
          <w:tcPr>
            <w:tcW w:w="114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receivable—gross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Trade accounts receivable—Net</w:t>
            </w:r>
          </w:p>
        </w:tc>
        <w:tc>
          <w:tcPr>
            <w:tcW w:w="3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i/>
          <w:color w:val="000000"/>
          <w:sz w:val="20"/>
        </w:rPr>
        <w:t xml:space="preserve">Allowance for Credit Losses </w:t>
      </w:r>
      <w:r>
        <w:rPr>
          <w:color w:val="000000"/>
        </w:rPr>
        <w:t xml:space="preserve">– </w:t>
      </w:r>
      <w:r>
        <w:rPr>
          <w:rFonts w:ascii="Times New Roman;serif" w:hAnsi="Times New Roman;serif"/>
          <w:b w:val="false"/>
          <w:color w:val="000000"/>
          <w:sz w:val="20"/>
        </w:rPr>
        <w:t xml:space="preserve">The Company's allowance for credit losses is the allowance for uncollectible accounts. The allowance for uncollectible accounts reduces the trade accounts receivable balance to the estimated net realizable value equal to the amount that is expected to be collected.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(in millions):</w:t>
      </w:r>
    </w:p>
    <w:tbl>
      <w:tblPr>
        <w:tblW w:w="7332" w:type="dxa"/>
        <w:jc w:val="left"/>
        <w:tblInd w:w="0" w:type="dxa"/>
        <w:tblLayout w:type="fixed"/>
        <w:tblCellMar>
          <w:top w:w="28" w:type="dxa"/>
          <w:left w:w="28" w:type="dxa"/>
          <w:bottom w:w="28" w:type="dxa"/>
          <w:right w:w="28" w:type="dxa"/>
        </w:tblCellMar>
      </w:tblPr>
      <w:tblGrid>
        <w:gridCol w:w="1401"/>
        <w:gridCol w:w="1233"/>
        <w:gridCol w:w="1236"/>
        <w:gridCol w:w="348"/>
        <w:gridCol w:w="1017"/>
        <w:gridCol w:w="180"/>
        <w:gridCol w:w="109"/>
        <w:gridCol w:w="109"/>
        <w:gridCol w:w="109"/>
        <w:gridCol w:w="342"/>
        <w:gridCol w:w="999"/>
        <w:gridCol w:w="249"/>
      </w:tblGrid>
      <w:tr>
        <w:trPr/>
        <w:tc>
          <w:tcPr>
            <w:tcW w:w="1401"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purchased component parts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8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2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for excess and obsolete inventory</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Inventories—Net</w:t>
            </w:r>
          </w:p>
        </w:tc>
        <w:tc>
          <w:tcPr>
            <w:tcW w:w="3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PROPERTY, PLANT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consist of the following (in millions):</w:t>
      </w:r>
    </w:p>
    <w:tbl>
      <w:tblPr>
        <w:tblW w:w="6642" w:type="dxa"/>
        <w:jc w:val="left"/>
        <w:tblInd w:w="0" w:type="dxa"/>
        <w:tblLayout w:type="fixed"/>
        <w:tblCellMar>
          <w:top w:w="28" w:type="dxa"/>
          <w:left w:w="28" w:type="dxa"/>
          <w:bottom w:w="28" w:type="dxa"/>
          <w:right w:w="28" w:type="dxa"/>
        </w:tblCellMar>
      </w:tblPr>
      <w:tblGrid>
        <w:gridCol w:w="1153"/>
        <w:gridCol w:w="1011"/>
        <w:gridCol w:w="1016"/>
        <w:gridCol w:w="348"/>
        <w:gridCol w:w="1017"/>
        <w:gridCol w:w="180"/>
        <w:gridCol w:w="109"/>
        <w:gridCol w:w="109"/>
        <w:gridCol w:w="109"/>
        <w:gridCol w:w="342"/>
        <w:gridCol w:w="999"/>
        <w:gridCol w:w="249"/>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3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equipment and other</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6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equipment—Net</w:t>
            </w:r>
          </w:p>
        </w:tc>
        <w:tc>
          <w:tcPr>
            <w:tcW w:w="34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GOODWILL AND INTANGIBLE ASSETS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carrying value of goodwill by segment for the fiscal years ended September 30, 2024 and 2025 (in millions):</w:t>
      </w:r>
    </w:p>
    <w:tbl>
      <w:tblPr>
        <w:tblW w:w="9049" w:type="dxa"/>
        <w:jc w:val="left"/>
        <w:tblInd w:w="0" w:type="dxa"/>
        <w:tblLayout w:type="fixed"/>
        <w:tblCellMar>
          <w:top w:w="28" w:type="dxa"/>
          <w:left w:w="28" w:type="dxa"/>
          <w:bottom w:w="28" w:type="dxa"/>
          <w:right w:w="28" w:type="dxa"/>
        </w:tblCellMar>
      </w:tblPr>
      <w:tblGrid>
        <w:gridCol w:w="1309"/>
        <w:gridCol w:w="1149"/>
        <w:gridCol w:w="1156"/>
        <w:gridCol w:w="307"/>
        <w:gridCol w:w="898"/>
        <w:gridCol w:w="161"/>
        <w:gridCol w:w="109"/>
        <w:gridCol w:w="109"/>
        <w:gridCol w:w="109"/>
        <w:gridCol w:w="211"/>
        <w:gridCol w:w="616"/>
        <w:gridCol w:w="109"/>
        <w:gridCol w:w="109"/>
        <w:gridCol w:w="109"/>
        <w:gridCol w:w="109"/>
        <w:gridCol w:w="330"/>
        <w:gridCol w:w="565"/>
        <w:gridCol w:w="171"/>
        <w:gridCol w:w="109"/>
        <w:gridCol w:w="109"/>
        <w:gridCol w:w="109"/>
        <w:gridCol w:w="211"/>
        <w:gridCol w:w="721"/>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2023</w:t>
            </w:r>
          </w:p>
        </w:tc>
        <w:tc>
          <w:tcPr>
            <w:tcW w:w="30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4,208 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price allocation adjustments </w:t>
            </w:r>
            <w:r>
              <w:rPr>
                <w:rFonts w:ascii="Times New Roman;serif" w:hAnsi="Times New Roman;serif"/>
                <w:b w:val="false"/>
                <w:color w:val="000000"/>
                <w:sz w:val="13"/>
              </w:rPr>
              <w:t>(1)</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and other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2024</w:t>
            </w:r>
          </w:p>
        </w:tc>
        <w:tc>
          <w:tcPr>
            <w:tcW w:w="12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during the period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price allocation adjustments </w:t>
            </w:r>
            <w:r>
              <w:rPr>
                <w:rFonts w:ascii="Times New Roman;serif" w:hAnsi="Times New Roman;serif"/>
                <w:b w:val="false"/>
                <w:color w:val="000000"/>
                <w:sz w:val="13"/>
              </w:rPr>
              <w:t>(2)</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 and other</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30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7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10,612 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related to the opening balance sheet adjustments recorded from the fiscal 2023 acquisition of Calspan Corporation within the allowable measurement period (not to exceed one year).</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 xml:space="preserve">Primarily related to the opening balance sheet adjustments recorded from the acquisition of Raptor Scientific (Airframe) completed during the fourth quarter of fiscal 2024 and CPI's Electron Device Business (Power &amp; Control) completed during the third quarter of fiscal 2024, within the allowable measurement period (not to exceed one year).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intangible assets–net in the consolidated balance sheets consist of the following at September 30 (in millions):</w:t>
      </w:r>
    </w:p>
    <w:tbl>
      <w:tblPr>
        <w:tblW w:w="10205" w:type="dxa"/>
        <w:jc w:val="left"/>
        <w:tblInd w:w="0" w:type="dxa"/>
        <w:tblLayout w:type="fixed"/>
        <w:tblCellMar>
          <w:top w:w="28" w:type="dxa"/>
          <w:left w:w="28" w:type="dxa"/>
          <w:bottom w:w="28" w:type="dxa"/>
          <w:right w:w="28" w:type="dxa"/>
        </w:tblCellMar>
      </w:tblPr>
      <w:tblGrid>
        <w:gridCol w:w="561"/>
        <w:gridCol w:w="418"/>
        <w:gridCol w:w="420"/>
        <w:gridCol w:w="306"/>
        <w:gridCol w:w="896"/>
        <w:gridCol w:w="159"/>
        <w:gridCol w:w="109"/>
        <w:gridCol w:w="109"/>
        <w:gridCol w:w="109"/>
        <w:gridCol w:w="284"/>
        <w:gridCol w:w="831"/>
        <w:gridCol w:w="148"/>
        <w:gridCol w:w="109"/>
        <w:gridCol w:w="109"/>
        <w:gridCol w:w="109"/>
        <w:gridCol w:w="211"/>
        <w:gridCol w:w="616"/>
        <w:gridCol w:w="109"/>
        <w:gridCol w:w="109"/>
        <w:gridCol w:w="109"/>
        <w:gridCol w:w="109"/>
        <w:gridCol w:w="306"/>
        <w:gridCol w:w="896"/>
        <w:gridCol w:w="159"/>
        <w:gridCol w:w="109"/>
        <w:gridCol w:w="109"/>
        <w:gridCol w:w="109"/>
        <w:gridCol w:w="284"/>
        <w:gridCol w:w="831"/>
        <w:gridCol w:w="148"/>
        <w:gridCol w:w="109"/>
        <w:gridCol w:w="109"/>
        <w:gridCol w:w="109"/>
        <w:gridCol w:w="211"/>
        <w:gridCol w:w="616"/>
        <w:gridCol w:w="160"/>
      </w:tblGrid>
      <w:tr>
        <w:trPr/>
        <w:tc>
          <w:tcPr>
            <w:tcW w:w="56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6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3,446 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net identifiable tangible and intangible assets acquired is based on the acquisition method of accounting. The fair value of the net identifiable tangible and intangible assets acquired will be finalized within the measurement period (not to exceed one year). Intangible assets acquired during the fiscal year ended September 30, 2025 are summarized in the table below (in millions):</w:t>
      </w:r>
    </w:p>
    <w:tbl>
      <w:tblPr>
        <w:tblW w:w="6897" w:type="dxa"/>
        <w:jc w:val="left"/>
        <w:tblInd w:w="0" w:type="dxa"/>
        <w:tblLayout w:type="fixed"/>
        <w:tblCellMar>
          <w:top w:w="28" w:type="dxa"/>
          <w:left w:w="28" w:type="dxa"/>
          <w:bottom w:w="28" w:type="dxa"/>
          <w:right w:w="28" w:type="dxa"/>
        </w:tblCellMar>
      </w:tblPr>
      <w:tblGrid>
        <w:gridCol w:w="1365"/>
        <w:gridCol w:w="1198"/>
        <w:gridCol w:w="1202"/>
        <w:gridCol w:w="310"/>
        <w:gridCol w:w="685"/>
        <w:gridCol w:w="160"/>
        <w:gridCol w:w="109"/>
        <w:gridCol w:w="109"/>
        <w:gridCol w:w="109"/>
        <w:gridCol w:w="482"/>
        <w:gridCol w:w="482"/>
        <w:gridCol w:w="686"/>
      </w:tblGrid>
      <w:tr>
        <w:trPr/>
        <w:tc>
          <w:tcPr>
            <w:tcW w:w="136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&amp; Other</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 backlog</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to 20 years</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6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Information regarding the amortization expense of amortizable intangible assets is detailed below (in millions):</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 xml:space="preserve">Annual Amortization Expense: </w:t>
      </w:r>
    </w:p>
    <w:tbl>
      <w:tblPr>
        <w:tblW w:w="3396" w:type="dxa"/>
        <w:jc w:val="left"/>
        <w:tblInd w:w="0" w:type="dxa"/>
        <w:tblLayout w:type="fixed"/>
        <w:tblCellMar>
          <w:top w:w="28" w:type="dxa"/>
          <w:left w:w="28" w:type="dxa"/>
          <w:bottom w:w="28" w:type="dxa"/>
          <w:right w:w="28" w:type="dxa"/>
        </w:tblCellMar>
      </w:tblPr>
      <w:tblGrid>
        <w:gridCol w:w="928"/>
        <w:gridCol w:w="816"/>
        <w:gridCol w:w="821"/>
        <w:gridCol w:w="211"/>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Years Ended September 30,</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Estimated Amortization Expense:</w:t>
      </w:r>
    </w:p>
    <w:tbl>
      <w:tblPr>
        <w:tblW w:w="3396" w:type="dxa"/>
        <w:jc w:val="left"/>
        <w:tblInd w:w="0" w:type="dxa"/>
        <w:tblLayout w:type="fixed"/>
        <w:tblCellMar>
          <w:top w:w="28" w:type="dxa"/>
          <w:left w:w="28" w:type="dxa"/>
          <w:bottom w:w="28" w:type="dxa"/>
          <w:right w:w="28" w:type="dxa"/>
        </w:tblCellMar>
      </w:tblPr>
      <w:tblGrid>
        <w:gridCol w:w="928"/>
        <w:gridCol w:w="816"/>
        <w:gridCol w:w="821"/>
        <w:gridCol w:w="211"/>
        <w:gridCol w:w="46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Years Ended September 30,</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ACCRUED AND OTHER CURRENT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 of the following (in millions):</w:t>
      </w:r>
    </w:p>
    <w:tbl>
      <w:tblPr>
        <w:tblW w:w="8036" w:type="dxa"/>
        <w:jc w:val="left"/>
        <w:tblInd w:w="0" w:type="dxa"/>
        <w:tblLayout w:type="fixed"/>
        <w:tblCellMar>
          <w:top w:w="28" w:type="dxa"/>
          <w:left w:w="28" w:type="dxa"/>
          <w:bottom w:w="28" w:type="dxa"/>
          <w:right w:w="28" w:type="dxa"/>
        </w:tblCellMar>
      </w:tblPr>
      <w:tblGrid>
        <w:gridCol w:w="1657"/>
        <w:gridCol w:w="1457"/>
        <w:gridCol w:w="1461"/>
        <w:gridCol w:w="413"/>
        <w:gridCol w:w="915"/>
        <w:gridCol w:w="216"/>
        <w:gridCol w:w="109"/>
        <w:gridCol w:w="109"/>
        <w:gridCol w:w="109"/>
        <w:gridCol w:w="342"/>
        <w:gridCol w:w="999"/>
        <w:gridCol w:w="249"/>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benefits</w:t>
            </w:r>
          </w:p>
        </w:tc>
        <w:tc>
          <w:tcPr>
            <w:tcW w:w="4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current (Note 3)</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payments, current (Note 16)</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current</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and other litigation reserves</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 (Note 17)</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 (Note 18)</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Accrued and other current liabilities</w:t>
            </w:r>
          </w:p>
        </w:tc>
        <w:tc>
          <w:tcPr>
            <w:tcW w:w="4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4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consists of the following (in millions):</w:t>
      </w:r>
    </w:p>
    <w:tbl>
      <w:tblPr>
        <w:tblW w:w="10205" w:type="dxa"/>
        <w:jc w:val="left"/>
        <w:tblInd w:w="0" w:type="dxa"/>
        <w:tblLayout w:type="fixed"/>
        <w:tblCellMar>
          <w:top w:w="28" w:type="dxa"/>
          <w:left w:w="28" w:type="dxa"/>
          <w:bottom w:w="28" w:type="dxa"/>
          <w:right w:w="28" w:type="dxa"/>
        </w:tblCellMar>
      </w:tblPr>
      <w:tblGrid>
        <w:gridCol w:w="1543"/>
        <w:gridCol w:w="1356"/>
        <w:gridCol w:w="1360"/>
        <w:gridCol w:w="226"/>
        <w:gridCol w:w="775"/>
        <w:gridCol w:w="117"/>
        <w:gridCol w:w="109"/>
        <w:gridCol w:w="109"/>
        <w:gridCol w:w="109"/>
        <w:gridCol w:w="323"/>
        <w:gridCol w:w="810"/>
        <w:gridCol w:w="166"/>
        <w:gridCol w:w="109"/>
        <w:gridCol w:w="109"/>
        <w:gridCol w:w="109"/>
        <w:gridCol w:w="408"/>
        <w:gridCol w:w="837"/>
        <w:gridCol w:w="210"/>
        <w:gridCol w:w="109"/>
        <w:gridCol w:w="109"/>
        <w:gridCol w:w="109"/>
        <w:gridCol w:w="211"/>
        <w:gridCol w:w="721"/>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 Discount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11,124 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secured notes due 2028 (“2028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secured notes due 2029 (“2029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6.875% secured notes due 2030 (“2030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7.125% secured notes due 2031 (“2031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6.625% secured notes due 2032 (“2032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secured notes due 2033 (“2033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6.250% secured notes due 2034 (“2034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29,291 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29,395 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29,167 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43"/>
        <w:gridCol w:w="1356"/>
        <w:gridCol w:w="1360"/>
        <w:gridCol w:w="226"/>
        <w:gridCol w:w="775"/>
        <w:gridCol w:w="117"/>
        <w:gridCol w:w="109"/>
        <w:gridCol w:w="109"/>
        <w:gridCol w:w="109"/>
        <w:gridCol w:w="323"/>
        <w:gridCol w:w="810"/>
        <w:gridCol w:w="166"/>
        <w:gridCol w:w="109"/>
        <w:gridCol w:w="109"/>
        <w:gridCol w:w="109"/>
        <w:gridCol w:w="408"/>
        <w:gridCol w:w="837"/>
        <w:gridCol w:w="210"/>
        <w:gridCol w:w="109"/>
        <w:gridCol w:w="109"/>
        <w:gridCol w:w="109"/>
        <w:gridCol w:w="211"/>
        <w:gridCol w:w="721"/>
        <w:gridCol w:w="161"/>
      </w:tblGrid>
      <w:tr>
        <w:trPr/>
        <w:tc>
          <w:tcPr>
            <w:tcW w:w="15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Debt Issuance Costs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Issue Discount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borrowings—trade receivable securitization facility</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loans</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8,702 </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subordinated notes due 2027 (“5.500% 2027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4.625% 2029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4.875% 2029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Secured Notes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Secured Notes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1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24,394 </w:t>
            </w:r>
          </w:p>
        </w:tc>
        <w:tc>
          <w:tcPr>
            <w:tcW w:w="1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2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24,482 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1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24,296 </w:t>
            </w:r>
          </w:p>
        </w:tc>
        <w:tc>
          <w:tcPr>
            <w:tcW w:w="1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Issuance of $2,650 million of Senior Subordinated Notes due 2033 – </w:t>
      </w:r>
      <w:r>
        <w:rPr>
          <w:rFonts w:ascii="Times New Roman;serif" w:hAnsi="Times New Roman;serif"/>
          <w:b w:val="false"/>
          <w:color w:val="000000"/>
          <w:sz w:val="20"/>
        </w:rPr>
        <w:t>On May 20, 2025, the Company entered into a purchase agreement in connection with a private offering of $2,650 million in aggregate principal amount consisting of the 6.375% 2033 Notes at an issue price of 99.225% of the principal amount, which represents an approximately $20.5 million discount. The 6.375% 2033 Notes were issued pursuant to an indenture, dated as of May 20, 2025, amongst TransDigm Inc., as issuer, TransDigm Group and the other subsidiaries of TransDigm Inc. named therein, as guarantors. The 6.375% 2033 Notes bear interest at the rate of 6.375% per annum, which accrues from May 20, 2025 and is payable in arrears on November 30 and May 31 of each year, commencing on November 30, 2025. The 6.375% 2033 Notes mature on May 31, 2033, unless earlier redeemed or repurchased, and are subject to the terms and conditions set forth in the related indenture.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$14 million in debt issuance costs associated with the 6.375% 2033 Notes during the fiscal year ended September 30, 2025.</w:t>
      </w:r>
    </w:p>
    <w:p>
      <w:pPr>
        <w:pStyle w:val="TextBody"/>
        <w:bidi w:val="0"/>
        <w:spacing w:lineRule="auto" w:line="288" w:before="120" w:after="283"/>
        <w:jc w:val="both"/>
        <w:rPr/>
      </w:pPr>
      <w:r>
        <w:rPr>
          <w:rFonts w:ascii="Times New Roman;serif" w:hAnsi="Times New Roman;serif"/>
          <w:b/>
          <w:i/>
          <w:color w:val="000000"/>
          <w:sz w:val="20"/>
        </w:rPr>
        <w:t>Redemption of $2,650 million of Senior Subordinated Notes due 2027 –</w:t>
      </w:r>
      <w:r>
        <w:rPr>
          <w:color w:val="000000"/>
        </w:rPr>
        <w:t xml:space="preserve"> </w:t>
      </w:r>
      <w:r>
        <w:rPr>
          <w:rFonts w:ascii="Times New Roman;serif" w:hAnsi="Times New Roman;serif"/>
          <w:b w:val="false"/>
          <w:color w:val="000000"/>
          <w:sz w:val="20"/>
        </w:rPr>
        <w:t>On June 20, 2025, the Company redeemed all $2,650 million aggregate principal of its outstanding 5.500% 2027 Notes at a redemption price of 100% of the principal amount thereof, plus accrued and unpaid interest thereon to, but not including, the redemption date, using the net proceeds of the offering of the 6.375% 2033 Notes (as further described above), together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refinancing costs of $7 million, consisting of the write-off of the unamortized debt issuance costs during the fiscal year ended September 30, 2025 in conjunction with the redemption of the 5.500% 2027 Notes.</w:t>
      </w:r>
    </w:p>
    <w:p>
      <w:pPr>
        <w:pStyle w:val="TextBody"/>
        <w:bidi w:val="0"/>
        <w:spacing w:lineRule="auto" w:line="288" w:before="120" w:after="283"/>
        <w:jc w:val="both"/>
        <w:rPr/>
      </w:pPr>
      <w:r>
        <w:rPr>
          <w:rFonts w:ascii="Times New Roman;serif" w:hAnsi="Times New Roman;serif"/>
          <w:b/>
          <w:i/>
          <w:color w:val="000000"/>
          <w:sz w:val="20"/>
        </w:rPr>
        <w:t>Issuance of $500 million of Senior Secured Notes due</w:t>
      </w:r>
      <w:r>
        <w:rPr>
          <w:color w:val="000000"/>
        </w:rPr>
        <w:t xml:space="preserve"> </w:t>
      </w:r>
      <w:r>
        <w:rPr>
          <w:rFonts w:ascii="Times New Roman;serif" w:hAnsi="Times New Roman;serif"/>
          <w:b/>
          <w:i/>
          <w:color w:val="000000"/>
          <w:sz w:val="20"/>
        </w:rPr>
        <w:t>2034</w:t>
      </w:r>
      <w:r>
        <w:rPr>
          <w:color w:val="000000"/>
        </w:rPr>
        <w:t xml:space="preserve"> – </w:t>
      </w:r>
      <w:r>
        <w:rPr>
          <w:rFonts w:ascii="Times New Roman;serif" w:hAnsi="Times New Roman;serif"/>
          <w:b w:val="false"/>
          <w:color w:val="000000"/>
          <w:sz w:val="20"/>
        </w:rPr>
        <w:t>On August 19, 2025, the Company entered into a purchase agreement in connection with a private offering of $500 million in aggregate principal amount consisting of the 2034 Secured Notes at an issue price of 100% of the principal amount. The 2034 Secured Notes were issued pursuant to an indenture, dated as of August 19, 2025, among TransDigm Inc., as issuer, TransDigm Group and the subsidiaries of TransDigm named therein, as guarantors. The 2034 Secured Notes bear interest at the rate of 6.250% per annum, which accrues from August 19, 2025 and is payable in arrears on January 31 and July 31 of each year, commencing on January 31, 2026. The 2034 Secured Notes mature on January 31, 2034, unless earlier redeemed or repurchased, and are subject to the terms and conditions set forth in the related indenture.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approximately $5 million in debt issuance costs associated with the 2034 Secured Notes during the fiscal year ended September 30, 2025.</w:t>
      </w:r>
    </w:p>
    <w:p>
      <w:pPr>
        <w:pStyle w:val="TextBody"/>
        <w:bidi w:val="0"/>
        <w:spacing w:lineRule="auto" w:line="288" w:before="120" w:after="283"/>
        <w:jc w:val="both"/>
        <w:rPr/>
      </w:pPr>
      <w:r>
        <w:rPr>
          <w:rFonts w:ascii="Times New Roman;serif" w:hAnsi="Times New Roman;serif"/>
          <w:b/>
          <w:i/>
          <w:color w:val="000000"/>
          <w:sz w:val="20"/>
        </w:rPr>
        <w:t>Issuance of $2,000 Subordinated Notes due</w:t>
      </w:r>
      <w:r>
        <w:rPr>
          <w:color w:val="000000"/>
        </w:rPr>
        <w:t xml:space="preserve"> </w:t>
      </w:r>
      <w:r>
        <w:rPr>
          <w:rFonts w:ascii="Times New Roman;serif" w:hAnsi="Times New Roman;serif"/>
          <w:b/>
          <w:i/>
          <w:color w:val="000000"/>
          <w:sz w:val="20"/>
        </w:rPr>
        <w:t>2034</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On August 19, 2025, the Company entered into a purchase agreement in connection with a private offering of $2,000 million in aggregate principal amount consisting of 6.750% 2034 Notes at an issue price of 100% of the principal amount. The 6.750% 2034 Notes were issued pursuant to an indenture, dated as of August 19, 2025 amongst TransDigm Inc., as issuer, TransDigm Group and the other subsidiaries of TransDigm Inc. named therein, as guarantors. The 6.750% 2034 Notes bear interest at the rate of 6.750% per annum, which accrues from August 19, 2025, and is payable in arrears on January 31 and July 31 of each year, commencing on January 31, 2026. The 6.750% 2034 Notes mature on January 31, 2034, unless earlier redeemed or repurchased, and are subject to the terms and conditions set forth in the related indenture.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capitalized approximately $18 million in debt issuance costs associated with the 2034 Secured Notes during the fiscal year ended September 30, 2025.</w:t>
      </w:r>
    </w:p>
    <w:p>
      <w:pPr>
        <w:pStyle w:val="TextBody"/>
        <w:bidi w:val="0"/>
        <w:spacing w:lineRule="auto" w:line="288" w:before="120" w:after="283"/>
        <w:jc w:val="both"/>
        <w:rPr/>
      </w:pPr>
      <w:r>
        <w:rPr>
          <w:rFonts w:ascii="Times New Roman;serif" w:hAnsi="Times New Roman;serif"/>
          <w:b/>
          <w:i/>
          <w:color w:val="000000"/>
          <w:sz w:val="20"/>
        </w:rPr>
        <w:t>Amendment No. 18 and Incremental Term Loan Assumption Agreement</w:t>
      </w:r>
      <w:r>
        <w:rPr>
          <w:color w:val="000000"/>
        </w:rPr>
        <w:t xml:space="preserve"> </w:t>
      </w:r>
      <w:r>
        <w:rPr>
          <w:rFonts w:ascii="Times New Roman;serif" w:hAnsi="Times New Roman;serif"/>
          <w:b w:val="false"/>
          <w:i/>
          <w:color w:val="000000"/>
          <w:sz w:val="20"/>
        </w:rPr>
        <w:t xml:space="preserve">- </w:t>
      </w:r>
      <w:r>
        <w:rPr>
          <w:rFonts w:ascii="Times New Roman;serif" w:hAnsi="Times New Roman;serif"/>
          <w:b w:val="false"/>
          <w:color w:val="000000"/>
          <w:sz w:val="20"/>
        </w:rPr>
        <w:t>On August 19, 2025, the Company entered into Amendment No. 18 and Incremental Term Loan Assumption Agreement (herein, “Amendment No. 18”), pursuant to which the Company, among other things, incurred $2,500 million in new Tranche M term loans. Original issue discount of 0.25%, or approximately $6 million, was paid to the lenders of the Tranche M term loans. The other terms and conditions that apply to the Tranche M term loans are substantially the same as the terms and conditions that apply to the other term loans existing under the Term Loans Facility. The Tranche M term loans were fully drawn on August 19, 2025. Principal payments commence on December 31, 2025, in which approximately $6 million is to be paid on a quarterly basis up to the August 19, 2032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Tranche M term loans bear interest at the rate of Term SOFR plus 2.50% per annum, which accrues from August 19, 2025, and is payable in arrears on March 31, June 30, September 30, and December 31 of each year, commencing on December 31,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$23 million in debt issuance costs associated with Amendment No. 18 during the fiscal year ended September 30, 2025.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proceeds from the August 19, 2025 issuances of the 2034 Secured Notes, the 6.750% 2034 Notes and the Tranche M term loans were used, along with existing cash on hand, to fund a $90.00 special dividend declaration on each outstanding share of common stock and cash dividend equivalent payments on eligible vested options outstanding under its stock option plans and for related fees and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Amendment No. 19 Loan Modification Agreement and Refinancing Facility Agreement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On September 17, 2025, the Company entered into Amendment No. 19, Loan Modification Agreement and Refinancing Facility Agreement (herein, “Amendment No. 19”), pursuant to which the Company, among other things, (i) repriced all of its $1,686 million in existing Tranche K term loans to bear interest at Term SOFR plus 2.25% compared to Term SOFR plus 2.75% applicable prior to Amendment No. 19; and (ii) amended and extended $1,857 million in existing Tranche I term loans maturing August 24, 2028 and converting such loans into new Tranche K term loans maturing March 22, 2030 (herein, “the New Tranche K Term Loans”). The other terms and conditions that apply to the New Tranche K Term Loans are substantially the same as the terms and conditions that applied to the other term loans existing under the Term Loans Facility. Principal payments commence on December 31, 2025, in which approximately $9 million is to be paid on a quarterly basis up to the March 22, 2030 maturity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New Tranche K Term Loans bear interest at the rate of Term SOFR plus 2.25% per annum compared to Term SOFR plus 2.75% applicable prior to Amendment No. 19. Interest accrues from September 17, 2025, and is payable in arrears on March 31, June 30, September 30, and December 31 of each year, commencing on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refinancing costs of $3 million associated with Amendment No. 19 during the fiscal year ended September 30, 2025. </w:t>
      </w:r>
    </w:p>
    <w:p>
      <w:pPr>
        <w:pStyle w:val="TextBody"/>
        <w:bidi w:val="0"/>
        <w:spacing w:lineRule="auto" w:line="268" w:before="120" w:after="283"/>
        <w:jc w:val="both"/>
        <w:rPr/>
      </w:pPr>
      <w:r>
        <w:rPr>
          <w:rFonts w:ascii="Times New Roman;serif" w:hAnsi="Times New Roman;serif"/>
          <w:b/>
          <w:i/>
          <w:color w:val="000000"/>
          <w:sz w:val="20"/>
        </w:rPr>
        <w:t xml:space="preserve">Trade Receivable Securitization Facility </w:t>
      </w:r>
      <w:r>
        <w:rPr>
          <w:color w:val="000000"/>
        </w:rPr>
        <w:t xml:space="preserve">– </w:t>
      </w:r>
      <w:r>
        <w:rPr>
          <w:rFonts w:ascii="Times New Roman;serif" w:hAnsi="Times New Roman;serif"/>
          <w:b w:val="false"/>
          <w:color w:val="000000"/>
          <w:sz w:val="20"/>
        </w:rPr>
        <w:t xml:space="preserve">The Company’s trade receivable securitization facility (the “Securitization Facility”) effectively increases the Company’s borrowing capacity depending on the amount of the domestic operations’ trade accounts receivable. The Securitization Facility includes the right for the Company to exercise annual one year extensions as long as there have been no termination events as defined by the agreement. The Company uses the proceeds from the Securitization Facility as an alternative to other forms of debt, effectively reducing borrowing costs.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11, 2025, the Company amended the Securitization Facility to, among other things, (i) increase the borrowing capacity from $650 million to $725 million; and (ii) extend the maturity date to July 10, 2026 at an interest rate of Term SOFR plus 1.35% compared to an interest rate of Term SOFR plus 1.45% that applied prior to the amendment.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drew $163 million and $75 million available under the Securitization Facility in October 2024 and September 2025, respectively. As of September 30, 2025, the total drawn on the Securitization Facility is $725 million. For the fiscal years ended September 30, 2025 and 2024, the applicable interest rate was 5.67% and 6.73%, respectively. The Securitization Facility is collateralized by substantially all of the Company’s domestic operations’ trade accounts receivable.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Government Refundable Advances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Government refundable advances consist of payments received from the Canadian government to assist in research and development related to commercial aviation. The requirement to repay this advance is based on year-over-year commercial aviation revenue growth for certain product lines at CMC Electronics, which is a wholly-owned subsidiary of TransDigm. As of September 30, 2025 and 2024, the outstanding balance of these advances were $12 million and $17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Obligations under Finance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certain buildings and equipment under finance leases. The present value of the minimum finance lease payments, net of the current portion, represents a balance of $284 million and $262 million at September 30, 2025 and 2024, respectively. The increase in fiscal 2025 is primarily attributable to certain new leases of facilities and amendments to previous agreements qualifying as lease modifications resulting in a change in classification from an operating lease to a finance lease. Refer to Note 17, “Leases,” for further disclosure of the Company’s lease obligations.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Senior Secured Term Loans Facility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TransDigm had $11,124 million in fully drawn term loans under the Term Loans Facility, $910 million in revolving commitments, of which $857 million was available to the Company, subject to an interest rate of 2.25% per annum. As of September 30, 2024, TransDigm had $8,702 million in fully drawn term loans, $910 million in revolving commitments, of which $843 million was available to the Company, subject to an interest rate of 2.25% per annum. The unused portion of the revolving commitments is subject to a fee of 0.5% per annum for both fiscal 2025 and 2024. The total fees incurred on the unused portion of the revolving commitments were not material in fiscal 2025 or fiscal 2024. TransDigm is in compliance with all the covenants contained in the Term Loans Facility. </w:t>
      </w:r>
    </w:p>
    <w:tbl>
      <w:tblPr>
        <w:tblW w:w="10205" w:type="dxa"/>
        <w:jc w:val="left"/>
        <w:tblInd w:w="0" w:type="dxa"/>
        <w:tblLayout w:type="fixed"/>
        <w:tblCellMar>
          <w:top w:w="28" w:type="dxa"/>
          <w:left w:w="28" w:type="dxa"/>
          <w:bottom w:w="28" w:type="dxa"/>
          <w:right w:w="28" w:type="dxa"/>
        </w:tblCellMar>
      </w:tblPr>
      <w:tblGrid>
        <w:gridCol w:w="572"/>
        <w:gridCol w:w="501"/>
        <w:gridCol w:w="503"/>
        <w:gridCol w:w="109"/>
        <w:gridCol w:w="109"/>
        <w:gridCol w:w="109"/>
        <w:gridCol w:w="525"/>
        <w:gridCol w:w="524"/>
        <w:gridCol w:w="527"/>
        <w:gridCol w:w="109"/>
        <w:gridCol w:w="109"/>
        <w:gridCol w:w="109"/>
        <w:gridCol w:w="995"/>
        <w:gridCol w:w="995"/>
        <w:gridCol w:w="1000"/>
        <w:gridCol w:w="109"/>
        <w:gridCol w:w="109"/>
        <w:gridCol w:w="109"/>
        <w:gridCol w:w="288"/>
        <w:gridCol w:w="844"/>
        <w:gridCol w:w="149"/>
        <w:gridCol w:w="149"/>
        <w:gridCol w:w="149"/>
        <w:gridCol w:w="149"/>
        <w:gridCol w:w="288"/>
        <w:gridCol w:w="844"/>
        <w:gridCol w:w="222"/>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 under Term Loans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Principal as of September 30,</w:t>
            </w:r>
          </w:p>
        </w:tc>
      </w:tr>
      <w:tr>
        <w:trPr/>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Tranche I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24,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 SOFR plus 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 SOFR plus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22,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 SOFR plus 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19,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 SOFR plus 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Tranche 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Term SOFR plus 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As previously disclosed within this note, during fiscal 2025, Tranche I was converted into Tranche K.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interest rates per annum applicable to the loans under the Term Loans Facility are, at TransDigm’s option, equal to either an alternate base rate or an adjusted Term SOFR for one, three or six-months thereafter (in each case, subject to the availability thereof), interest periods chosen by TransDigm, in each case, plus an applicable margin percentage. The adjusted Term SOFR related to the existing term loans are not subject to a floor. Refer to Note 18, “Derivatives and Hedging Activities,” for information about how our interest rate swaps, cap and collar agreements are used to hedge and offset, respectively, the variable interest rates on the Term Loans Facility.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Secured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TransDigm Inc.’s 2028 Secured Notes are jointly and severally guaranteed, on a senior basis, by TransDigm Group, TransDigm UK and all of TransDigm Inc.'s Domestic Restricted Subsidiaries, as defined in the applicable indentures. The 2029 Secured Notes, 2030 Secured Notes, 2031 Secured Notes, 2032 Secured Notes, 2033 Secured Notes and 2034 Secured Notes (collectively with the 2028 Secured Notes, the “Secured Notes”) are guaranteed on a senior secured basis by TransDigm Group and each of TransDigm Inc.’s direct and indirect Restricted Subsidiaries (as defined in the applicable indenture) that is a borrower or guarantor under TransDigm’s senior secured credit facilities or that issues or guarantees any capital market indebtedness of TransDigm Inc. or any of the guarantors in an aggregate principal amount of at least $200 million. The guarantees of the Secured Notes rank equally in right of payment with all of the guarantors’ existing and future senior secured debt and are senior in right of payment to all of their existing and future senior subordinated debt. The Secured Notes are structurally subordinated to all of the liabilities of TransDigm’s non-guarantor subsidiaries. As of the date of this Form 10-K, the guarantors of the 2029 Secured Notes, 2030 Secured Notes, 2031 Secured Notes, 2032 Secured Notes, 2033 Secured Notes and 2034 Secured Notes are the same as the guarantors of the 2028 Secured Notes. The Secured Notes contain restrictive covenants that are substantially similar to many of the restrictive covenants included in the Credit Agreement. TransDigm is in compliance with all the covenants contained in the Secured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Subordinated Notes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4.625% 2029 Notes and the 4.875% 2029 Notes are fully and unconditionally guaranteed on a senior subordinated unsecured basis by TransDigm Group, TransDigm UK and TransDigm Inc.’s Domestic Restricted Subsidiaries (as defined in the applicable indentures). The 6.375% 2033 Notes and the 6.750% 2034 Notes are guaranteed, on a senior subordinated basis, by TransDigm Group and each of TransDigm Inc.’s direct and indirect restricted subsidiaries that is a borrower or guarantor under TransDigm’s senior secured credit facilities or that issues or guarantees any capital markets indebtedness of TransDigm or any of the guarantors in an aggregate principal amount of at least $200 million. The guarantees of the Subordinated Notes are subordinated to all of the guarantors’ existing and future senior debt, rank equally with all of their existing and future senior subordinated debt and rank senior to all of their future debt that is expressly subordinated to the guarantees of the Subordinated Notes. The Subordinated Notes are structurally subordinated to all of the liabilities of TransDigm Group’s non-guarantor subsidiaries. The Subordinated Notes contain restrictive covenants that are substantially similar to many of the restrictive covenants included in the Credit Agreement. TransDigm is in compliance with all the covenants contained in the Subordinated Notes.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Debt Repayment Schedule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future maturities of long-term debt (excluding finance leases) are as follows (in millions), refer to Note 17, “Leases,” for future maturities of finance leases:</w:t>
      </w:r>
    </w:p>
    <w:tbl>
      <w:tblPr>
        <w:tblW w:w="3651" w:type="dxa"/>
        <w:jc w:val="left"/>
        <w:tblInd w:w="0" w:type="dxa"/>
        <w:tblLayout w:type="fixed"/>
        <w:tblCellMar>
          <w:top w:w="28" w:type="dxa"/>
          <w:left w:w="28" w:type="dxa"/>
          <w:bottom w:w="28" w:type="dxa"/>
          <w:right w:w="28" w:type="dxa"/>
        </w:tblCellMar>
      </w:tblPr>
      <w:tblGrid>
        <w:gridCol w:w="928"/>
        <w:gridCol w:w="816"/>
        <w:gridCol w:w="821"/>
        <w:gridCol w:w="211"/>
        <w:gridCol w:w="72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Years Ended September 30,</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assets and liabilities that are measured at fair value on a recurring basis and are categorized using the fair value hierarchy. The fair value hierarchy has three levels based on the reliability of the inputs used to determine fair value. Level 1 inputs are quoted prices (unadjusted) in active markets for identical assets or liabilities. Level 2 inputs are quoted prices for similar assets and liabilities in active markets, quoted prices for identical or similar assets or liabilities in markets that are not active, and inputs (other than quoted prices) that are observable for the asset or liability, either directly or indirectly. Level 3 inputs are unobservable inputs for the asset or liability. A financial asset or liability’s classification within the hierarchy is determined based on the lowest level input that is significant to the fair value measurement.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carrying amounts and fair values of financial instruments (in millions):</w:t>
      </w:r>
    </w:p>
    <w:tbl>
      <w:tblPr>
        <w:tblW w:w="10205" w:type="dxa"/>
        <w:jc w:val="left"/>
        <w:tblInd w:w="0" w:type="dxa"/>
        <w:tblLayout w:type="fixed"/>
        <w:tblCellMar>
          <w:top w:w="28" w:type="dxa"/>
          <w:left w:w="28" w:type="dxa"/>
          <w:bottom w:w="28" w:type="dxa"/>
          <w:right w:w="28" w:type="dxa"/>
        </w:tblCellMar>
      </w:tblPr>
      <w:tblGrid>
        <w:gridCol w:w="1685"/>
        <w:gridCol w:w="1457"/>
        <w:gridCol w:w="1468"/>
        <w:gridCol w:w="165"/>
        <w:gridCol w:w="165"/>
        <w:gridCol w:w="166"/>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68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49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cap agreements </w:t>
            </w:r>
            <w:r>
              <w:rPr>
                <w:rFonts w:ascii="Times New Roman;serif" w:hAnsi="Times New Roman;serif"/>
                <w:b w:val="false"/>
                <w:color w:val="000000"/>
                <w:sz w:val="13"/>
              </w:rPr>
              <w:t>(1)</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(1)</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exchange contracts </w:t>
            </w:r>
            <w:r>
              <w:rPr>
                <w:rFonts w:ascii="Times New Roman;serif" w:hAnsi="Times New Roman;serif"/>
                <w:b w:val="false"/>
                <w:color w:val="000000"/>
                <w:sz w:val="13"/>
              </w:rPr>
              <w:t>(1)</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(2)</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(2)</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swap agreements </w:t>
            </w:r>
            <w:r>
              <w:rPr>
                <w:rFonts w:ascii="Times New Roman;serif" w:hAnsi="Times New Roman;serif"/>
                <w:b w:val="false"/>
                <w:color w:val="000000"/>
                <w:sz w:val="13"/>
              </w:rPr>
              <w:t>(3)</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cap agreements </w:t>
            </w:r>
            <w:r>
              <w:rPr>
                <w:rFonts w:ascii="Times New Roman;serif" w:hAnsi="Times New Roman;serif"/>
                <w:b w:val="false"/>
                <w:color w:val="000000"/>
                <w:sz w:val="13"/>
              </w:rPr>
              <w:t>(3)</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forward exchange contracts </w:t>
            </w:r>
            <w:r>
              <w:rPr>
                <w:rFonts w:ascii="Times New Roman;serif" w:hAnsi="Times New Roman;serif"/>
                <w:b w:val="false"/>
                <w:color w:val="000000"/>
                <w:sz w:val="13"/>
              </w:rPr>
              <w:t>(3)</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rate collar agreements </w:t>
            </w:r>
            <w:r>
              <w:rPr>
                <w:rFonts w:ascii="Times New Roman;serif" w:hAnsi="Times New Roman;serif"/>
                <w:b w:val="false"/>
                <w:color w:val="000000"/>
                <w:sz w:val="13"/>
              </w:rPr>
              <w:t>(4)</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Short-term borrowings - trade receivable securitization facility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Long-term debt, including current portion:</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Term loans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5.500% 2027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2028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4.625% 2029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2029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4.875% 2029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2030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2031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2032 Secured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2033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6.375% 2033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2034 Secured Notes </w:t>
            </w:r>
            <w:r>
              <w:rPr>
                <w:rFonts w:ascii="Times New Roman;serif" w:hAnsi="Times New Roman;serif"/>
                <w:b w:val="false"/>
                <w:color w:val="000000"/>
                <w:sz w:val="13"/>
              </w:rPr>
              <w:t>(5)</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6.750% 2034 Notes </w:t>
            </w:r>
            <w:r>
              <w:rPr>
                <w:rFonts w:ascii="Times New Roman;serif" w:hAnsi="Times New Roman;serif"/>
                <w:b w:val="false"/>
                <w:color w:val="000000"/>
                <w:sz w:val="13"/>
              </w:rPr>
              <w:t>(5)</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refundable advances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Included in prepaid expenses and other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Included in other assets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Included in accrued and other current liabilities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Included in other non-current liabilities on the consolidated balance sheets.</w:t>
      </w:r>
    </w:p>
    <w:p>
      <w:pPr>
        <w:pStyle w:val="TextBody"/>
        <w:bidi w:val="0"/>
        <w:spacing w:lineRule="auto" w:line="288" w:before="60" w:after="283"/>
        <w:ind w:left="0" w:right="0" w:hanging="360"/>
        <w:jc w:val="both"/>
        <w:rPr/>
      </w:pPr>
      <w:r>
        <w:rPr>
          <w:rFonts w:ascii="Times New Roman;serif" w:hAnsi="Times New Roman;serif"/>
          <w:b w:val="false"/>
          <w:color w:val="000000"/>
          <w:sz w:val="13"/>
        </w:rPr>
        <w:t>(5)</w:t>
      </w:r>
      <w:r>
        <w:rPr>
          <w:rFonts w:ascii="Times New Roman;serif" w:hAnsi="Times New Roman;serif"/>
          <w:b w:val="false"/>
          <w:color w:val="000000"/>
          <w:sz w:val="20"/>
        </w:rPr>
        <w:t>The carrying amount of the debt instrument is presented net of debt issuance costs and original issue discount. Refer to Note 10, “Debt,” for gross carrying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Company values its financial instruments using an industry standard market approach, in which prices and other relevant information are generated by market transactions involving identical or comparable assets or liabilities. No financial instruments were recognized or disclosed using unobservable inputs (i.e., Level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derivatives consist of interest rate swap, cap and collar agreements and foreign currency exchange contracts. The fair values of the interest rate swap, cap and collar agreements were derived by taking the net present value of the expected cash flows using observable market inputs (Level 2) such as SOFR rate curves, futures, volatilities and basis spreads (when applicable). The fair values of the foreign currency exchange contracts were derived by using Level 2 inputs based on observable spot and forward exchange rates in active markets. There has not been any impact to the fair value of derivative liabilities due to the Company's own credit risk. Similarly, there has not been any material impact to the fair value of derivative assets based on the Company's evaluation of counterparties' credit risks.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fair value of the Company’s term loans was based on information provided by the agent under the Company’s Credit Agreement. The estimated fair values of the Company’s notes were based upon quoted market prices.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cash and cash equivalents, trade accounts receivable-net and accounts payable approximated carrying value due to the short-term nature of these instruments at September 30, 2025 and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income from continuing operations before income taxes includes the following components for the periods shown below (in millions):</w:t>
      </w:r>
    </w:p>
    <w:tbl>
      <w:tblPr>
        <w:tblW w:w="4706" w:type="dxa"/>
        <w:jc w:val="left"/>
        <w:tblInd w:w="0" w:type="dxa"/>
        <w:tblLayout w:type="fixed"/>
        <w:tblCellMar>
          <w:top w:w="28" w:type="dxa"/>
          <w:left w:w="28" w:type="dxa"/>
          <w:bottom w:w="28" w:type="dxa"/>
          <w:right w:w="28" w:type="dxa"/>
        </w:tblCellMar>
      </w:tblPr>
      <w:tblGrid>
        <w:gridCol w:w="435"/>
        <w:gridCol w:w="381"/>
        <w:gridCol w:w="383"/>
        <w:gridCol w:w="211"/>
        <w:gridCol w:w="616"/>
        <w:gridCol w:w="109"/>
        <w:gridCol w:w="109"/>
        <w:gridCol w:w="109"/>
        <w:gridCol w:w="109"/>
        <w:gridCol w:w="211"/>
        <w:gridCol w:w="616"/>
        <w:gridCol w:w="109"/>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income tax provision (benefit) on income from continuing operations consists of the following for the periods shown below (in millions):</w:t>
      </w:r>
    </w:p>
    <w:tbl>
      <w:tblPr>
        <w:tblW w:w="3868" w:type="dxa"/>
        <w:jc w:val="left"/>
        <w:tblInd w:w="0" w:type="dxa"/>
        <w:tblLayout w:type="fixed"/>
        <w:tblCellMar>
          <w:top w:w="28" w:type="dxa"/>
          <w:left w:w="28" w:type="dxa"/>
          <w:bottom w:w="28" w:type="dxa"/>
          <w:right w:w="28" w:type="dxa"/>
        </w:tblCellMar>
      </w:tblPr>
      <w:tblGrid>
        <w:gridCol w:w="292"/>
        <w:gridCol w:w="257"/>
        <w:gridCol w:w="262"/>
        <w:gridCol w:w="211"/>
        <w:gridCol w:w="466"/>
        <w:gridCol w:w="109"/>
        <w:gridCol w:w="109"/>
        <w:gridCol w:w="109"/>
        <w:gridCol w:w="109"/>
        <w:gridCol w:w="211"/>
        <w:gridCol w:w="466"/>
        <w:gridCol w:w="109"/>
        <w:gridCol w:w="109"/>
        <w:gridCol w:w="109"/>
        <w:gridCol w:w="109"/>
        <w:gridCol w:w="211"/>
        <w:gridCol w:w="466"/>
        <w:gridCol w:w="154"/>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7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the federal statutory income tax rate to the effective income tax rate for the periods shown below is as follows:</w:t>
      </w:r>
    </w:p>
    <w:tbl>
      <w:tblPr>
        <w:tblW w:w="7595" w:type="dxa"/>
        <w:jc w:val="left"/>
        <w:tblInd w:w="0" w:type="dxa"/>
        <w:tblLayout w:type="fixed"/>
        <w:tblCellMar>
          <w:top w:w="28" w:type="dxa"/>
          <w:left w:w="28" w:type="dxa"/>
          <w:bottom w:w="28" w:type="dxa"/>
          <w:right w:w="28" w:type="dxa"/>
        </w:tblCellMar>
      </w:tblPr>
      <w:tblGrid>
        <w:gridCol w:w="1534"/>
        <w:gridCol w:w="1352"/>
        <w:gridCol w:w="1358"/>
        <w:gridCol w:w="255"/>
        <w:gridCol w:w="256"/>
        <w:gridCol w:w="326"/>
        <w:gridCol w:w="131"/>
        <w:gridCol w:w="131"/>
        <w:gridCol w:w="131"/>
        <w:gridCol w:w="255"/>
        <w:gridCol w:w="256"/>
        <w:gridCol w:w="326"/>
        <w:gridCol w:w="131"/>
        <w:gridCol w:w="131"/>
        <w:gridCol w:w="131"/>
        <w:gridCol w:w="255"/>
        <w:gridCol w:w="256"/>
        <w:gridCol w:w="380"/>
      </w:tblGrid>
      <w:tr>
        <w:trPr/>
        <w:tc>
          <w:tcPr>
            <w:tcW w:w="15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statutory income tax rate </w:t>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 impacting results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 income taxes, net of federal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Other—net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the deferred taxes consist of the following (in millions):</w:t>
      </w:r>
    </w:p>
    <w:tbl>
      <w:tblPr>
        <w:tblW w:w="7135" w:type="dxa"/>
        <w:jc w:val="left"/>
        <w:tblInd w:w="0" w:type="dxa"/>
        <w:tblLayout w:type="fixed"/>
        <w:tblCellMar>
          <w:top w:w="28" w:type="dxa"/>
          <w:left w:w="28" w:type="dxa"/>
          <w:bottom w:w="28" w:type="dxa"/>
          <w:right w:w="28" w:type="dxa"/>
        </w:tblCellMar>
      </w:tblPr>
      <w:tblGrid>
        <w:gridCol w:w="1330"/>
        <w:gridCol w:w="1171"/>
        <w:gridCol w:w="1173"/>
        <w:gridCol w:w="322"/>
        <w:gridCol w:w="1056"/>
        <w:gridCol w:w="166"/>
        <w:gridCol w:w="109"/>
        <w:gridCol w:w="109"/>
        <w:gridCol w:w="109"/>
        <w:gridCol w:w="317"/>
        <w:gridCol w:w="1041"/>
        <w:gridCol w:w="232"/>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w:t>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limitation</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costs</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losses</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7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6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Valuation allowance</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 (liabilities)</w:t>
            </w:r>
          </w:p>
        </w:tc>
        <w:tc>
          <w:tcPr>
            <w:tcW w:w="3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16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23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the Company has state net operating loss carryforwards of approximately $780 million, German net operating loss carryforwards of $66 million and United Kingdom net operating loss carryforwards of approximately $93 million that expire in various fiscal years from 2026 to 2045. The Company has U.S. and non-U.S. tax credit carryforwards of $9 million that expire beginning in fiscal year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deferred tax assets for the interest expense limitation, net operating losses, and tax credit carryforwards are reduced by a valuation allowance for the amount of such assets that the Company believes will not be realized.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limited exception, no provision has been made for income taxes on undistributed earnings of foreign subsidiaries of approximately $30 million at September 30, 2025, since it is the Company’s intention to indefinitely reinvest such undistributed earnings. The cash that is permanently reinvested is typically used to expand operations either organically or through acquisitions. It is not practicable to estimate the additional taxes that would be payable on the remittance of such earnings. We have provided for taxes in jurisdictions in which we are not considered indefinitely reinvested, however, such amounts are not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and its subsidiaries file income tax returns in the U.S. federal jurisdiction and various state, local and foreign jurisdictions. The Company is no longer subject to U.S. federal examinations for years before fiscal 2018. The Company is currently under examination for its federal income taxes in Canada for fiscal years 2013 through 2019, in France for fiscal years 2020 through 2022, and in Germany for fiscal years 2017 through 2019. In addition, the Company is subject to state income tax examinations for fiscal years 2015 and later.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unrecognized tax benefits is as follows (in millions):</w:t>
      </w:r>
    </w:p>
    <w:tbl>
      <w:tblPr>
        <w:tblW w:w="6638" w:type="dxa"/>
        <w:jc w:val="left"/>
        <w:tblInd w:w="0" w:type="dxa"/>
        <w:tblLayout w:type="fixed"/>
        <w:tblCellMar>
          <w:top w:w="28" w:type="dxa"/>
          <w:left w:w="28" w:type="dxa"/>
          <w:bottom w:w="28" w:type="dxa"/>
          <w:right w:w="28" w:type="dxa"/>
        </w:tblCellMar>
      </w:tblPr>
      <w:tblGrid>
        <w:gridCol w:w="1778"/>
        <w:gridCol w:w="1556"/>
        <w:gridCol w:w="1570"/>
        <w:gridCol w:w="211"/>
        <w:gridCol w:w="361"/>
        <w:gridCol w:w="109"/>
        <w:gridCol w:w="109"/>
        <w:gridCol w:w="109"/>
        <w:gridCol w:w="109"/>
        <w:gridCol w:w="211"/>
        <w:gridCol w:w="361"/>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October 1</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prior year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the current year</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based on tax positions related to the prior year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with tax authorities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Lapse in statute of limitations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Unrecognized tax benefits at September 30, 2025 and 2024, the recognition of which would have an effect on the effective tax rate for each fiscal year, amounted to $23 million and $14 million, respectively. The Company classifies all income tax-related interest and penalties as income tax expense, which were not significant for the years ended September 30, 2025 and 2024. As of September 30, 2025 and 2024, the Company accrued $5 million and $4 million, respectively, for the potential payment of interest and penalties. Within the next twelve months, it is reasonably possible that unrecognized tax benefits could be reduced by approximately $2 million resulting from the resolution or closure of tax examinations. Any increase in the amount of unrecognized tax benefits within the next twelve months is not expected to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(the “Act”) was signed into law. It contains a broad range of tax reform provisions affecting businesses. The majority of these provisions will impact us starting in fiscal year 2027. We continue to evaluate the future effects of the Act on our effective tax rate and cash tax position. The impact of the legislation on our operating results for the year ended September 30, 2025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ordinary course of business, the Company is from time to time threatened with, or may become a party to, legal actions and other proceedings such as product liability claims, employee claims, workers’ compensation claims and class action lawsuits. Insurance may cover some of the costs associated with these claims and proceedings. While the Company is currently involved in certain legal proceedings, it believes the results of these proceedings will not have a material adverse effect on its financial condition, results of operations, or cash flows.</w:t>
      </w:r>
    </w:p>
    <w:p>
      <w:pPr>
        <w:pStyle w:val="TextBody"/>
        <w:bidi w:val="0"/>
        <w:spacing w:lineRule="auto" w:line="288" w:before="120" w:after="283"/>
        <w:jc w:val="both"/>
        <w:rPr/>
      </w:pPr>
      <w:r>
        <w:rPr>
          <w:rFonts w:ascii="Times New Roman;serif" w:hAnsi="Times New Roman;serif"/>
          <w:b/>
          <w:i/>
          <w:color w:val="000000"/>
          <w:sz w:val="20"/>
        </w:rPr>
        <w:t xml:space="preserve">Environmental Liabilities </w:t>
      </w:r>
      <w:r>
        <w:rPr>
          <w:color w:val="000000"/>
        </w:rPr>
        <w:t xml:space="preserve">– </w:t>
      </w:r>
      <w:r>
        <w:rPr>
          <w:rFonts w:ascii="Times New Roman;serif" w:hAnsi="Times New Roman;serif"/>
          <w:b w:val="false"/>
          <w:color w:val="000000"/>
          <w:sz w:val="20"/>
        </w:rPr>
        <w:t>Our operations and facilities are subject to a number of federal, state, local and foreign environmental laws and regulations that govern, among other things, discharges of pollutants into the air and water, the generation, handling, storage and disposal of hazardous materials and wastes, the remediation of contamination and the health and safety of our employees. Environmental laws and regulations may require that the Company investigate and remediate the effects of the release or disposal of materials at sites associated with past and present operations. Certain facilities and third-party sites utilized by the Company have been identified as potentially responsible parties under the federal superfund laws and comparable state laws. The Company is currently involved in the investigation and remediation of a number of sites under applicable laws.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Estimates of the Company’s environmental liabilities are based on current facts, laws, regulations and technology. These estimates take into consideration the Company’s prior experience and professional judgment of the Company’s environmental advisors. Estimates of the Company’s environmental liabilities are further subject to uncertainties regarding the nature and extent of site contamination, the range of remediation alternatives available, evolving remediation standards, imprecise engineering evaluations and cost estimates, the extent of corrective actions that may be required and the number and financial condition of other potentially responsible parties, as well as the extent of their responsibility for the remediation.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Accordingly, as investigation and remediation proceed, it is likely that adjustments in the Company’s accruals will be necessary to reflect new information. The amounts of any such adjustments could have a material adverse effect on the Company’s results of operations or cash flows in a given period. Based on currently available information, however, the Company does not believe that future environmental costs in excess of those accrued with respect to sites for which the Company has been identified as a potentially responsible party are likely to have a material adverse effect on the Company’s financial condition or 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Environmental liabilities are recorded when the liability is probable and the costs are reasonably estimable, which generally is not later than at completion of a feasibility study or when the Company has recommended a remedy or has committed to an appropriate plan of action. The Company also takes into consideration the estimated period of time in which payments will be required. The liabilities are reviewed periodically and, as investigation and remediation proceed, adjustments are made as necessary. Liabilities for losses from environmental remediation obligations do not consider the effects of inflation and anticipated expenditures are not discounted to their present value. The liabilities are not offset by possible recoveries from insurance carriers or other third parties, but do reflect anticipated allocations among potentially responsible parties at federal superfund sites or similar state-managed sites, third party indemnity obligations, and an assessment of the likelihood that such parties will fulfill their obligations at such sites.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balance sheets includes current environmental remediation obligations at both September 30, 2025 and 2024 of $5 million classified as a component of accrued and other current liabilities, respectively, and non-current environmental remediation obligations at September 30, 2025 and 2024 of $33 million and $36 million classified as a component of other non-current liabilities,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TD Group consists of 224,400,000 shares of $.01 par value common stock and 149,600,000 shares of $.01 par value preferred stock. The total number of shares of common stock issued at September 30, 2025 and 2024 was 62,465,317 and 61,904,833, respectively. The total number of shares held in treasury was 6,089,675 and 5,688,639 at September 30, 2025 and 2024, respectively. There were no shares of preferred stock outstanding at September 30, 2025 and 2024. The terms of the preferred stock have not been established.</w:t>
      </w:r>
    </w:p>
    <w:p>
      <w:pPr>
        <w:pStyle w:val="TextBody"/>
        <w:bidi w:val="0"/>
        <w:spacing w:lineRule="auto" w:line="288" w:before="120" w:after="283"/>
        <w:jc w:val="both"/>
        <w:rPr/>
      </w:pPr>
      <w:r>
        <w:rPr>
          <w:rFonts w:ascii="Times New Roman;serif" w:hAnsi="Times New Roman;serif"/>
          <w:b w:val="false"/>
          <w:color w:val="000000"/>
          <w:sz w:val="20"/>
        </w:rPr>
        <w:t xml:space="preserve">On January 27, 2022, the Board of Directors of the Company authorized a new stock repurchase program to permit repurchases of its outstanding common stock not to exceed $2,200 million in the aggregate (the “$2,200 million stock repurchase program”), replacing the $650 million stock repurchase program previously authorized by the Board of Directors on November 8, 2017, </w:t>
      </w:r>
      <w:r>
        <w:rPr>
          <w:rFonts w:ascii="Times New Roman;serif" w:hAnsi="Times New Roman;serif"/>
          <w:b w:val="false"/>
          <w:color w:val="000000"/>
          <w:sz w:val="20"/>
          <w:shd w:fill="FFFFFF" w:val="clear"/>
        </w:rPr>
        <w:t xml:space="preserve">subject to any restrictions specified </w:t>
      </w:r>
      <w:r>
        <w:rPr>
          <w:rFonts w:ascii="Times New Roman;serif" w:hAnsi="Times New Roman;serif"/>
          <w:b w:val="false"/>
          <w:color w:val="000000"/>
          <w:sz w:val="20"/>
        </w:rPr>
        <w:t xml:space="preserve">in the Credit Agreement and indentures governing the Company's existing Notes. There is no expiration date for this program.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2025, the Company repurchased 401,036 shares of common stock at an average price of $1,246.71 per share, for a total amount of $500 million. The repurchased shares of common stock are classified as treasury stock in the statement of changes in stockholders' deficit. As of September 30, 2025, $788 million remained available for repurchase under the $2,200 million stock repurchase program. </w:t>
      </w:r>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October Share Repurchase Activity </w:t>
      </w:r>
      <w:r>
        <w:rPr>
          <w:color w:val="000000"/>
        </w:rPr>
        <w:t xml:space="preserve">– </w:t>
      </w:r>
      <w:r>
        <w:rPr>
          <w:rFonts w:ascii="Times New Roman;serif" w:hAnsi="Times New Roman;serif"/>
          <w:b w:val="false"/>
          <w:color w:val="000000"/>
          <w:sz w:val="20"/>
        </w:rPr>
        <w:t>In October 2025, the Company repurchased</w:t>
      </w:r>
      <w:r>
        <w:rPr>
          <w:color w:val="000000"/>
        </w:rPr>
        <w:t xml:space="preserve"> </w:t>
      </w:r>
      <w:r>
        <w:rPr>
          <w:rFonts w:ascii="Times New Roman;serif" w:hAnsi="Times New Roman;serif"/>
          <w:b w:val="false"/>
          <w:color w:val="000000"/>
          <w:sz w:val="20"/>
        </w:rPr>
        <w:t>79,959 shares of common stock at an average price of $1,249.90 per share for a total amount of $100 million.</w:t>
      </w:r>
    </w:p>
    <w:p>
      <w:pPr>
        <w:pStyle w:val="TextBody"/>
        <w:bidi w:val="0"/>
        <w:spacing w:lineRule="auto" w:line="288" w:before="120" w:after="283"/>
        <w:jc w:val="both"/>
        <w:rPr/>
      </w:pPr>
      <w:r>
        <w:rPr>
          <w:rFonts w:ascii="Times New Roman;serif" w:hAnsi="Times New Roman;serif"/>
          <w:b/>
          <w:i/>
          <w:color w:val="000000"/>
          <w:sz w:val="20"/>
        </w:rPr>
        <w:t xml:space="preserve">Subsequent Event </w:t>
      </w:r>
      <w:r>
        <w:rPr>
          <w:color w:val="000000"/>
        </w:rPr>
        <w:t xml:space="preserve">– </w:t>
      </w:r>
      <w:r>
        <w:rPr>
          <w:rFonts w:ascii="Times New Roman;serif" w:hAnsi="Times New Roman;serif"/>
          <w:b/>
          <w:i/>
          <w:color w:val="000000"/>
          <w:sz w:val="20"/>
        </w:rPr>
        <w:t xml:space="preserve">Additional Share Repurchase Authorization </w:t>
      </w:r>
      <w:r>
        <w:rPr>
          <w:color w:val="000000"/>
        </w:rPr>
        <w:t xml:space="preserve">– </w:t>
      </w:r>
      <w:r>
        <w:rPr>
          <w:rFonts w:ascii="Times New Roman;serif" w:hAnsi="Times New Roman;serif"/>
          <w:b w:val="false"/>
          <w:color w:val="000000"/>
          <w:sz w:val="20"/>
        </w:rPr>
        <w:t xml:space="preserve">In November 2025, the Board of Directors authorized an additional $5,000 million in share repurchases of common stock permissible under the Company’s existing stock repurchase program, subject to any restrictions specified in the Credit Agreement and indentures governing the existing Subordinated and Secured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businesses are organized and managed in three reporting segments: Power &amp; Control, Airframe and Non-aviation.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Power &amp; Control segment includes operations that primarily develop, produce and market systems and components that predominately provide power to or control power of the aircraft utilizing electronic, fluid, power and mechanical motion control technologies. Major product offerings include mechanical/electromechanical actuators and controls, ignition systems and engine technology, specialized pumps and valves, power conditioning devices, specialized AC/DC electric motors and generators, batteries and chargers, databus and power controls, advanced sensor products, switches and relay panels, high performance hoists, winches and lifting devices, cargo loading, handling and delivery systems, electronic components used in the generation, amplification, transmission and reception of microwave signals, and single and two-stage servo values. Primary customers of this segment are engine and power system and subsystem suppliers, airlines, third party maintenance suppliers, military buying agencies and repair depots. Products are sold in the original equipment and aftermarket market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Airframe segment includes operations that primarily develop, produce and market systems and components that are used in non-power airframe applications utilizing airframe and cabin structure technologies. Major product offerings include engineered latching and locking devices, engineered rods, engineered connectors and elastomer sealing solutions, cockpit security components and systems, specialized and advanced cockpit displays, engineered audio, radio and antenna systems, specialized lavatory components, seat belts and safety restraints, engineered and customized interior surfaces and related components, thermal protection and insulation, lighting and control technology, parachutes, specialized flight, wind tunnel and jet engine testing services and equipment and complex testing and instrumentation solutions. Primary customers of this segment are airframe manufacturers and cabin system suppliers and subsystem suppliers, airlines, third party maintenance suppliers, military buying agencies and repair depots. Products are sold in the original equipment and aftermarket market channels.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Non-aviation segment includes operations that primarily develop, produce and market products for non-aviation markets. Major product offerings include seat belts and safety restraints for ground transportation applications, mechanical/electromechanical actuators and controls for space applications, hydraulic/electromechanical actuators and fuel valves for land-based gas turbines, and refueling systems for heavy equipment used in mining, construction and other industries and turbine controls for the energy and oil and gas markets. Primary customers of this segment are off-road vehicle suppliers and subsystem suppliers, child restraint system suppliers, satellite and space system suppliers, manufacturers of heavy equipment used in mining, construction and other industries and turbine original equipment manufacturers, gas pipeline builders and electric utilities.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segments are reported on the same basis used internally by our Chief Operating Decision Maker (“CODM”) for evaluating performance and for allocating resources. The Company’s CODM is collectively the President and Chief Executive Officer and Co-Chief Operating Officers. The primary measurement used internally by our CODM and management to review and assess the operating performance of each segment is EBITDA As Defined. Actual results are compared to plan, forecast and prior year on a monthly basis. The Company defines EBITDA As Defined as earnings before interest, taxes, depreciation and amortization plus certain non-operating items recorded as corporate expenses including non-cash compensation charges incurred in connection with the Company’s stock incentive or deferred compensation plans, foreign currency gains and losses, acquisition-integration costs, acquisition transaction-related expenses, and refinancing costs. Acquisition transaction and integration-related expenses represent costs incurred to integrate acquired businesses into TD Group’s operations; facility relocation costs and other acquisition-related costs; transaction and valuation-related costs for acquisitions comprising deal fees, legal, financial and tax due diligence expenses; amortization expense of inventory step-up recorded in connection with the purchase accounting of acquired businesses.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EBITDA As Defined is not a measurement of financial performance under U.S. GAAP. Although the Company uses EBITDA As Defined to assess the performance of its business and for various other purposes, the use of this non-GAAP financial measure as an analytical tool has limitations, and it should not be considered in isolation or as a substitute for analysis of the Company’s results of operations as reported in accordance with U.S. 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for each segment are the same as those described in the summary of significant accounting policies in Note 1 to the Company’s consolidated financial statements. Intersegment sales and transfers are recorded at values based on market prices, which creates intercompany profit on intersegment sales or transfers that is eliminated in consolidation. Intersegment sales were immaterial for the periods presented below. Corporate consists of our corporate offices. Corporate expenses consist primarily of compensation, benefits, professional services and other administrative costs incurred by the corporate offices. Corporate assets consist primarily of cash and cash equivalents. Corporate expenses and assets reconcile reportable segment data to the consolidated totals. An immaterial amount of corporate expenses is allocated to the operating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for the periods indicated, certain financial information by reportable segment, which includes a reconciliation of EBITDA As Defined to consolidated income from continuing operations before income taxes (in millions): </w:t>
      </w:r>
    </w:p>
    <w:tbl>
      <w:tblPr>
        <w:tblW w:w="10205" w:type="dxa"/>
        <w:jc w:val="left"/>
        <w:tblInd w:w="0" w:type="dxa"/>
        <w:tblLayout w:type="fixed"/>
        <w:tblCellMar>
          <w:top w:w="28" w:type="dxa"/>
          <w:left w:w="28" w:type="dxa"/>
          <w:bottom w:w="28" w:type="dxa"/>
          <w:right w:w="28" w:type="dxa"/>
        </w:tblCellMar>
      </w:tblPr>
      <w:tblGrid>
        <w:gridCol w:w="1692"/>
        <w:gridCol w:w="1443"/>
        <w:gridCol w:w="1451"/>
        <w:gridCol w:w="109"/>
        <w:gridCol w:w="109"/>
        <w:gridCol w:w="109"/>
        <w:gridCol w:w="354"/>
        <w:gridCol w:w="786"/>
        <w:gridCol w:w="185"/>
        <w:gridCol w:w="109"/>
        <w:gridCol w:w="109"/>
        <w:gridCol w:w="109"/>
        <w:gridCol w:w="211"/>
        <w:gridCol w:w="616"/>
        <w:gridCol w:w="109"/>
        <w:gridCol w:w="109"/>
        <w:gridCol w:w="109"/>
        <w:gridCol w:w="109"/>
        <w:gridCol w:w="355"/>
        <w:gridCol w:w="355"/>
        <w:gridCol w:w="356"/>
        <w:gridCol w:w="109"/>
        <w:gridCol w:w="109"/>
        <w:gridCol w:w="109"/>
        <w:gridCol w:w="211"/>
        <w:gridCol w:w="616"/>
        <w:gridCol w:w="157"/>
      </w:tblGrid>
      <w:tr>
        <w:trPr/>
        <w:tc>
          <w:tcPr>
            <w:tcW w:w="169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 2025</w:t>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losses; acquisition transaction and integration-related expenses and payroll withholding taxes related to dividend equivalent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9621" w:type="dxa"/>
        <w:jc w:val="left"/>
        <w:tblInd w:w="0" w:type="dxa"/>
        <w:tblLayout w:type="fixed"/>
        <w:tblCellMar>
          <w:top w:w="28" w:type="dxa"/>
          <w:left w:w="28" w:type="dxa"/>
          <w:bottom w:w="28" w:type="dxa"/>
          <w:right w:w="28" w:type="dxa"/>
        </w:tblCellMar>
      </w:tblPr>
      <w:tblGrid>
        <w:gridCol w:w="937"/>
        <w:gridCol w:w="822"/>
        <w:gridCol w:w="835"/>
        <w:gridCol w:w="109"/>
        <w:gridCol w:w="109"/>
        <w:gridCol w:w="109"/>
        <w:gridCol w:w="454"/>
        <w:gridCol w:w="454"/>
        <w:gridCol w:w="456"/>
        <w:gridCol w:w="109"/>
        <w:gridCol w:w="109"/>
        <w:gridCol w:w="109"/>
        <w:gridCol w:w="360"/>
        <w:gridCol w:w="361"/>
        <w:gridCol w:w="261"/>
        <w:gridCol w:w="109"/>
        <w:gridCol w:w="109"/>
        <w:gridCol w:w="109"/>
        <w:gridCol w:w="355"/>
        <w:gridCol w:w="355"/>
        <w:gridCol w:w="356"/>
        <w:gridCol w:w="109"/>
        <w:gridCol w:w="109"/>
        <w:gridCol w:w="109"/>
        <w:gridCol w:w="344"/>
        <w:gridCol w:w="344"/>
        <w:gridCol w:w="346"/>
        <w:gridCol w:w="109"/>
        <w:gridCol w:w="109"/>
        <w:gridCol w:w="109"/>
        <w:gridCol w:w="360"/>
        <w:gridCol w:w="361"/>
        <w:gridCol w:w="22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9,859 </w:t>
            </w:r>
          </w:p>
        </w:tc>
        <w:tc>
          <w:tcPr>
            <w:tcW w:w="4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22,909 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Corporate consists of our corporate offices and does not constitute an operating segment. These amounts are included to reconcile to total consolidated assets, capital expenditures and depreciation and amortization, respectively. </w:t>
      </w:r>
    </w:p>
    <w:tbl>
      <w:tblPr>
        <w:tblW w:w="10205" w:type="dxa"/>
        <w:jc w:val="left"/>
        <w:tblInd w:w="0" w:type="dxa"/>
        <w:tblLayout w:type="fixed"/>
        <w:tblCellMar>
          <w:top w:w="28" w:type="dxa"/>
          <w:left w:w="28" w:type="dxa"/>
          <w:bottom w:w="28" w:type="dxa"/>
          <w:right w:w="28" w:type="dxa"/>
        </w:tblCellMar>
      </w:tblPr>
      <w:tblGrid>
        <w:gridCol w:w="1692"/>
        <w:gridCol w:w="1443"/>
        <w:gridCol w:w="1451"/>
        <w:gridCol w:w="109"/>
        <w:gridCol w:w="109"/>
        <w:gridCol w:w="109"/>
        <w:gridCol w:w="354"/>
        <w:gridCol w:w="786"/>
        <w:gridCol w:w="185"/>
        <w:gridCol w:w="109"/>
        <w:gridCol w:w="109"/>
        <w:gridCol w:w="109"/>
        <w:gridCol w:w="211"/>
        <w:gridCol w:w="616"/>
        <w:gridCol w:w="109"/>
        <w:gridCol w:w="109"/>
        <w:gridCol w:w="109"/>
        <w:gridCol w:w="109"/>
        <w:gridCol w:w="355"/>
        <w:gridCol w:w="355"/>
        <w:gridCol w:w="356"/>
        <w:gridCol w:w="109"/>
        <w:gridCol w:w="109"/>
        <w:gridCol w:w="109"/>
        <w:gridCol w:w="211"/>
        <w:gridCol w:w="616"/>
        <w:gridCol w:w="157"/>
      </w:tblGrid>
      <w:tr>
        <w:trPr/>
        <w:tc>
          <w:tcPr>
            <w:tcW w:w="1692"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 2024</w:t>
            </w:r>
          </w:p>
        </w:tc>
      </w:tr>
      <w:tr>
        <w:trPr/>
        <w:tc>
          <w:tcPr>
            <w:tcW w:w="4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3,966 </w:t>
            </w:r>
          </w:p>
        </w:tc>
        <w:tc>
          <w:tcPr>
            <w:tcW w:w="18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losses; acquisition transaction and integration-related expenses and payroll withholding taxes related to dividend equivalent payments.</w:t>
      </w:r>
    </w:p>
    <w:tbl>
      <w:tblPr>
        <w:tblW w:w="9621" w:type="dxa"/>
        <w:jc w:val="left"/>
        <w:tblInd w:w="0" w:type="dxa"/>
        <w:tblLayout w:type="fixed"/>
        <w:tblCellMar>
          <w:top w:w="28" w:type="dxa"/>
          <w:left w:w="28" w:type="dxa"/>
          <w:bottom w:w="28" w:type="dxa"/>
          <w:right w:w="28" w:type="dxa"/>
        </w:tblCellMar>
      </w:tblPr>
      <w:tblGrid>
        <w:gridCol w:w="937"/>
        <w:gridCol w:w="822"/>
        <w:gridCol w:w="835"/>
        <w:gridCol w:w="109"/>
        <w:gridCol w:w="109"/>
        <w:gridCol w:w="109"/>
        <w:gridCol w:w="454"/>
        <w:gridCol w:w="454"/>
        <w:gridCol w:w="456"/>
        <w:gridCol w:w="109"/>
        <w:gridCol w:w="109"/>
        <w:gridCol w:w="109"/>
        <w:gridCol w:w="360"/>
        <w:gridCol w:w="361"/>
        <w:gridCol w:w="261"/>
        <w:gridCol w:w="109"/>
        <w:gridCol w:w="109"/>
        <w:gridCol w:w="109"/>
        <w:gridCol w:w="355"/>
        <w:gridCol w:w="355"/>
        <w:gridCol w:w="356"/>
        <w:gridCol w:w="109"/>
        <w:gridCol w:w="109"/>
        <w:gridCol w:w="109"/>
        <w:gridCol w:w="344"/>
        <w:gridCol w:w="344"/>
        <w:gridCol w:w="346"/>
        <w:gridCol w:w="109"/>
        <w:gridCol w:w="109"/>
        <w:gridCol w:w="109"/>
        <w:gridCol w:w="360"/>
        <w:gridCol w:w="361"/>
        <w:gridCol w:w="22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9,180 </w:t>
            </w:r>
          </w:p>
        </w:tc>
        <w:tc>
          <w:tcPr>
            <w:tcW w:w="4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10,045 </w:t>
            </w:r>
          </w:p>
        </w:tc>
        <w:tc>
          <w:tcPr>
            <w:tcW w:w="26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6,168 </w:t>
            </w:r>
          </w:p>
        </w:tc>
        <w:tc>
          <w:tcPr>
            <w:tcW w:w="34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25,586 </w:t>
            </w:r>
          </w:p>
        </w:tc>
        <w:tc>
          <w:tcPr>
            <w:tcW w:w="2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Corporate consists of our corporate offices and does not constitute an operating segment. These amounts are included to reconcile to total consolidated assets, capital expenditures and depreciation and amortization,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21"/>
        <w:gridCol w:w="1493"/>
        <w:gridCol w:w="1501"/>
        <w:gridCol w:w="109"/>
        <w:gridCol w:w="109"/>
        <w:gridCol w:w="109"/>
        <w:gridCol w:w="360"/>
        <w:gridCol w:w="798"/>
        <w:gridCol w:w="188"/>
        <w:gridCol w:w="109"/>
        <w:gridCol w:w="109"/>
        <w:gridCol w:w="109"/>
        <w:gridCol w:w="211"/>
        <w:gridCol w:w="466"/>
        <w:gridCol w:w="109"/>
        <w:gridCol w:w="109"/>
        <w:gridCol w:w="109"/>
        <w:gridCol w:w="109"/>
        <w:gridCol w:w="355"/>
        <w:gridCol w:w="355"/>
        <w:gridCol w:w="356"/>
        <w:gridCol w:w="109"/>
        <w:gridCol w:w="109"/>
        <w:gridCol w:w="109"/>
        <w:gridCol w:w="211"/>
        <w:gridCol w:w="616"/>
        <w:gridCol w:w="157"/>
      </w:tblGrid>
      <w:tr>
        <w:trPr/>
        <w:tc>
          <w:tcPr>
            <w:tcW w:w="1721"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September 30, 2023</w:t>
            </w:r>
          </w:p>
        </w:tc>
      </w:tr>
      <w:tr>
        <w:trPr/>
        <w:tc>
          <w:tcPr>
            <w:tcW w:w="4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 to external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OEM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non-aerospace aftermarket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Non-aviation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8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EBITDA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Unallocated corporate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transaction and integration-related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and deferred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Primarily represents cost of sales, selling expenses, general and administrative expenses, research and development, and miscellaneous income or expense. Excludes depreciation and amortization; non-cash stock and deferred compensation expense; foreign currency transaction losses; acquisition transaction and integration-related expenses and payroll withholding taxes related to dividend equivalent payments.</w:t>
      </w:r>
    </w:p>
    <w:tbl>
      <w:tblPr>
        <w:tblW w:w="9516" w:type="dxa"/>
        <w:jc w:val="left"/>
        <w:tblInd w:w="0" w:type="dxa"/>
        <w:tblLayout w:type="fixed"/>
        <w:tblCellMar>
          <w:top w:w="28" w:type="dxa"/>
          <w:left w:w="28" w:type="dxa"/>
          <w:bottom w:w="28" w:type="dxa"/>
          <w:right w:w="28" w:type="dxa"/>
        </w:tblCellMar>
      </w:tblPr>
      <w:tblGrid>
        <w:gridCol w:w="937"/>
        <w:gridCol w:w="822"/>
        <w:gridCol w:w="835"/>
        <w:gridCol w:w="109"/>
        <w:gridCol w:w="109"/>
        <w:gridCol w:w="109"/>
        <w:gridCol w:w="454"/>
        <w:gridCol w:w="454"/>
        <w:gridCol w:w="456"/>
        <w:gridCol w:w="109"/>
        <w:gridCol w:w="109"/>
        <w:gridCol w:w="109"/>
        <w:gridCol w:w="308"/>
        <w:gridCol w:w="308"/>
        <w:gridCol w:w="261"/>
        <w:gridCol w:w="109"/>
        <w:gridCol w:w="109"/>
        <w:gridCol w:w="109"/>
        <w:gridCol w:w="355"/>
        <w:gridCol w:w="355"/>
        <w:gridCol w:w="356"/>
        <w:gridCol w:w="109"/>
        <w:gridCol w:w="109"/>
        <w:gridCol w:w="109"/>
        <w:gridCol w:w="344"/>
        <w:gridCol w:w="344"/>
        <w:gridCol w:w="346"/>
        <w:gridCol w:w="109"/>
        <w:gridCol w:w="109"/>
        <w:gridCol w:w="109"/>
        <w:gridCol w:w="360"/>
        <w:gridCol w:w="361"/>
        <w:gridCol w:w="225"/>
      </w:tblGrid>
      <w:tr>
        <w:trPr/>
        <w:tc>
          <w:tcPr>
            <w:tcW w:w="93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Power &amp; Control</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Airframe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Non-aviation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Corporate </w:t>
            </w:r>
            <w:r>
              <w:rPr>
                <w:rFonts w:ascii="Times New Roman;serif" w:hAnsi="Times New Roman;serif"/>
                <w:b/>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7,356 </w:t>
            </w:r>
          </w:p>
        </w:tc>
        <w:tc>
          <w:tcPr>
            <w:tcW w:w="4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8,972 </w:t>
            </w:r>
          </w:p>
        </w:tc>
        <w:tc>
          <w:tcPr>
            <w:tcW w:w="26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34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19,970 </w:t>
            </w:r>
          </w:p>
        </w:tc>
        <w:tc>
          <w:tcPr>
            <w:tcW w:w="22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Corporate consists of our corporate offices and does not constitute an operating segment. These amounts are included to reconcile to total consolidated assets, capital expenditures and depreciation and amortization,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Geographic Area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sales are measured based on the geographic destination of sales. Long-lived assets consist of property, plant and equipment-net and operating lease right-of-use assets. Net sales and long-lived assets of individual countries outside of the United States are not material.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net sales by geographic area (in millions):</w:t>
      </w:r>
    </w:p>
    <w:tbl>
      <w:tblPr>
        <w:tblW w:w="5096" w:type="dxa"/>
        <w:jc w:val="left"/>
        <w:tblInd w:w="0" w:type="dxa"/>
        <w:tblLayout w:type="fixed"/>
        <w:tblCellMar>
          <w:top w:w="28" w:type="dxa"/>
          <w:left w:w="28" w:type="dxa"/>
          <w:bottom w:w="28" w:type="dxa"/>
          <w:right w:w="28" w:type="dxa"/>
        </w:tblCellMar>
      </w:tblPr>
      <w:tblGrid>
        <w:gridCol w:w="575"/>
        <w:gridCol w:w="503"/>
        <w:gridCol w:w="511"/>
        <w:gridCol w:w="211"/>
        <w:gridCol w:w="616"/>
        <w:gridCol w:w="109"/>
        <w:gridCol w:w="109"/>
        <w:gridCol w:w="109"/>
        <w:gridCol w:w="109"/>
        <w:gridCol w:w="211"/>
        <w:gridCol w:w="616"/>
        <w:gridCol w:w="109"/>
        <w:gridCol w:w="109"/>
        <w:gridCol w:w="109"/>
        <w:gridCol w:w="109"/>
        <w:gridCol w:w="211"/>
        <w:gridCol w:w="61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Countries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by geographic area (in millions):</w:t>
      </w:r>
    </w:p>
    <w:tbl>
      <w:tblPr>
        <w:tblW w:w="6924" w:type="dxa"/>
        <w:jc w:val="left"/>
        <w:tblInd w:w="0" w:type="dxa"/>
        <w:tblLayout w:type="fixed"/>
        <w:tblCellMar>
          <w:top w:w="28" w:type="dxa"/>
          <w:left w:w="28" w:type="dxa"/>
          <w:bottom w:w="28" w:type="dxa"/>
          <w:right w:w="28" w:type="dxa"/>
        </w:tblCellMar>
      </w:tblPr>
      <w:tblGrid>
        <w:gridCol w:w="577"/>
        <w:gridCol w:w="505"/>
        <w:gridCol w:w="508"/>
        <w:gridCol w:w="348"/>
        <w:gridCol w:w="1017"/>
        <w:gridCol w:w="180"/>
        <w:gridCol w:w="109"/>
        <w:gridCol w:w="109"/>
        <w:gridCol w:w="109"/>
        <w:gridCol w:w="348"/>
        <w:gridCol w:w="1017"/>
        <w:gridCol w:w="180"/>
        <w:gridCol w:w="109"/>
        <w:gridCol w:w="109"/>
        <w:gridCol w:w="109"/>
        <w:gridCol w:w="342"/>
        <w:gridCol w:w="999"/>
        <w:gridCol w:w="249"/>
      </w:tblGrid>
      <w:tr>
        <w:trPr/>
        <w:tc>
          <w:tcPr>
            <w:tcW w:w="577"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Countries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24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equity compensation plans are designed to assist the Company in attracting, retaining, motivating and rewarding key employees, directors or consultants, and promoting the creation of long-term value for stockholders by closely aligning the interests of these individuals with those of the Company’s stockholders. The Company’s equity compensation plans provide for the granting of stock options.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Non-cash stock compensation expense recognized by the Company during the fiscal years ended September 30, 2025, 2024 and 2023 was $152 million, $188 million and $135 million, respectively. The related tax benefit for the fiscal years ended September 30, 2025, 2024 and 2023 was $24 million, $24 million and $15 million, respectively. Of the non-cash stock compensation expense recorded in fiscal 2025, 2024 and 2023, $150 million, $134 million and $112 million was recorded as a component of additional paid in capital and less than $2 million, $54 million and $23 million was recorded as a component of other non-current liabilities. The liability awards relate to stock options granted between fiscal 2017 to fiscal 2020 from the 2014 stock option plan to certain employees in lieu of these individuals receiving salary and bonus compensation paid in cash. The vesting of the stock options are subject to the achievement of the same operating performance goals as other grants. The liability is remeasured each reporting period based on the market value of our common shares on the last day of the reported period. The other non-current liabilities related to stock-based compensation was $102 million as of September 30, 2025 and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weighted-average grant date fair value of options granted during the fiscal years ended September 30, 2025, 2024 and 2023 was $549.03, $397.31 and $251.73, respectively. The total fair value of options vested during fiscal years ended September 30, 2025, 2024 and 2023 was $107 million, $97 million and $80 million, respectively.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Compensation expense is recognized based upon probability assessments of awards that are expected to vest in future periods, adjusted for expected forfeitures. Such probability assessments are subject to revision and, therefore, unrecognized compensation expense is subject to future changes in estimate. As of September 30, 2025, there was approximately $208 million of total unrecognized compensation expense related to non-vested awards expected to vest, which is expected to be recognized over a weighted-average period of 1.8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employee stock options was estimated at the date of grant or modification using a Black-Scholes option-pricing model with the following weighted average assumptions for all options granted during the fiscal years ended:</w:t>
      </w:r>
    </w:p>
    <w:tbl>
      <w:tblPr>
        <w:tblW w:w="7477" w:type="dxa"/>
        <w:jc w:val="left"/>
        <w:tblInd w:w="0" w:type="dxa"/>
        <w:tblLayout w:type="fixed"/>
        <w:tblCellMar>
          <w:top w:w="28" w:type="dxa"/>
          <w:left w:w="28" w:type="dxa"/>
          <w:bottom w:w="28" w:type="dxa"/>
          <w:right w:w="28" w:type="dxa"/>
        </w:tblCellMar>
      </w:tblPr>
      <w:tblGrid>
        <w:gridCol w:w="1022"/>
        <w:gridCol w:w="896"/>
        <w:gridCol w:w="902"/>
        <w:gridCol w:w="415"/>
        <w:gridCol w:w="415"/>
        <w:gridCol w:w="369"/>
        <w:gridCol w:w="169"/>
        <w:gridCol w:w="169"/>
        <w:gridCol w:w="169"/>
        <w:gridCol w:w="434"/>
        <w:gridCol w:w="434"/>
        <w:gridCol w:w="331"/>
        <w:gridCol w:w="169"/>
        <w:gridCol w:w="169"/>
        <w:gridCol w:w="169"/>
        <w:gridCol w:w="411"/>
        <w:gridCol w:w="411"/>
        <w:gridCol w:w="423"/>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0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1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 to 4.5%</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 to 4.7%</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 to 4.2%</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years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years</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of stock</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stock</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32.5%</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33.5%</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The risk-free interest rate is based upon the U.S. Treasury bond rates with a term similar to the expected life of the award as of the grant date or modification date. The average expected life of stock-based awards is based on the Company’s actual historical exercise experience. The Company uses actual historical changes in the market value of its stock to calculate the volatility assumption as it is management’s belief that this is the best indicator of future volatility. The Company estimates stock option forfeitures based on historical data. The total number of stock options expected to vest is adjusted by actual and estimated forfeitures. Changes to the actual and estimated forfeitures will result in a cumulative adjustment in the period of change. Notwithstanding the special cash dividends declared and paid from time to time, the Company historically has not declared and paid regular cash dividends and does not anticipate declaring and paying regular cash dividends in future periods. Furthermore, since vested options under the Company’s equity compensation plans are entitled to participate in dividend equivalents (refer to “</w:t>
      </w:r>
      <w:r>
        <w:rPr>
          <w:rFonts w:ascii="Times New Roman;serif" w:hAnsi="Times New Roman;serif"/>
          <w:b w:val="false"/>
          <w:i/>
          <w:color w:val="000000"/>
          <w:sz w:val="20"/>
        </w:rPr>
        <w:t>Dividends and Dividend Equivalent Plans</w:t>
      </w:r>
      <w:r>
        <w:rPr>
          <w:color w:val="000000"/>
        </w:rPr>
        <w:t xml:space="preserve">” </w:t>
      </w:r>
      <w:r>
        <w:rPr>
          <w:rFonts w:ascii="Times New Roman;serif" w:hAnsi="Times New Roman;serif"/>
          <w:b w:val="false"/>
          <w:color w:val="000000"/>
          <w:sz w:val="20"/>
        </w:rPr>
        <w:t>section below) upon declaration of a special dividend, no expected dividend yield is assumed.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2019 Stock Option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2019, the Board of Directors of TD Group adopted a new stock option plan, which was subsequently approved by stockholders on October 3, 2019. The 2019 stock option plan permits TD Group to award stock options to our key employees, directors or consultants. The total number shares of TD Group common stock reserved for issuance or delivery under the 2019 stock option plan is 4,000,000, subject to adjustment in the event of any stock dividend or split, reorganization, recapitalization, merger, share exchange or any other similar corporate transaction or event. </w:t>
      </w:r>
    </w:p>
    <w:p>
      <w:pPr>
        <w:pStyle w:val="TextBody"/>
        <w:bidi w:val="0"/>
        <w:spacing w:lineRule="auto" w:line="288" w:before="120" w:after="283"/>
        <w:jc w:val="both"/>
        <w:rPr/>
      </w:pPr>
      <w:r>
        <w:rPr>
          <w:rFonts w:ascii="Times New Roman;serif" w:hAnsi="Times New Roman;serif"/>
          <w:b/>
          <w:i/>
          <w:color w:val="000000"/>
          <w:sz w:val="20"/>
        </w:rPr>
        <w:t xml:space="preserve">Performance Vested Stock Options </w:t>
      </w:r>
      <w:r>
        <w:rPr>
          <w:color w:val="000000"/>
        </w:rPr>
        <w:t xml:space="preserve">– </w:t>
      </w:r>
      <w:r>
        <w:rPr>
          <w:rFonts w:ascii="Times New Roman;serif" w:hAnsi="Times New Roman;serif"/>
          <w:b w:val="false"/>
          <w:color w:val="000000"/>
          <w:sz w:val="20"/>
        </w:rPr>
        <w:t>Generally all of the options granted through September 30, 2025 under the 2019 stock option plan have been pursuant to an equity incentive program adopted by the Company in 2008. Under the 2008 equity incentive program, generally all of the options granted will vest based on the Company’s achievement of established operating performance goals. The following table summarizes the activity, pricing and other information for the Company’s performance vested stock-based award activity during the fiscal year ended September 30, 2025:</w:t>
      </w:r>
    </w:p>
    <w:tbl>
      <w:tblPr>
        <w:tblW w:w="9655" w:type="dxa"/>
        <w:jc w:val="left"/>
        <w:tblInd w:w="0" w:type="dxa"/>
        <w:tblLayout w:type="fixed"/>
        <w:tblCellMar>
          <w:top w:w="28" w:type="dxa"/>
          <w:left w:w="28" w:type="dxa"/>
          <w:bottom w:w="28" w:type="dxa"/>
          <w:right w:w="28" w:type="dxa"/>
        </w:tblCellMar>
      </w:tblPr>
      <w:tblGrid>
        <w:gridCol w:w="1081"/>
        <w:gridCol w:w="950"/>
        <w:gridCol w:w="954"/>
        <w:gridCol w:w="449"/>
        <w:gridCol w:w="451"/>
        <w:gridCol w:w="296"/>
        <w:gridCol w:w="109"/>
        <w:gridCol w:w="109"/>
        <w:gridCol w:w="109"/>
        <w:gridCol w:w="260"/>
        <w:gridCol w:w="1075"/>
        <w:gridCol w:w="136"/>
        <w:gridCol w:w="109"/>
        <w:gridCol w:w="109"/>
        <w:gridCol w:w="109"/>
        <w:gridCol w:w="490"/>
        <w:gridCol w:w="490"/>
        <w:gridCol w:w="491"/>
        <w:gridCol w:w="109"/>
        <w:gridCol w:w="109"/>
        <w:gridCol w:w="109"/>
        <w:gridCol w:w="211"/>
        <w:gridCol w:w="118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Per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9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561,109 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795.95 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346,664 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759,608 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226,226,455 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w:t>
            </w:r>
          </w:p>
        </w:tc>
        <w:tc>
          <w:tcPr>
            <w:tcW w:w="9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409,971 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1,051.67 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8.5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109,195,776 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93,696 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724.47 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55,613,261 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there were 3,210,451 remaining shares available for award under TD Group’s 2019 stock option plan.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2014 Stock Option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2014, the Board of Directors of TD Group adopted the 2014 stock option plan, which was subsequently approved by stockholders on October 2, 2014. The 2014 stock option plan permitted TD Group to award stock options to our key employees, directors or consultants. The total number of shares of TD Group common stock reserved for issuance or delivery under the 2014 stock option plan was 5,000,000, subject to adjustment in the event of any stock dividend or split, reorganization, recapitalization, merger, share exchange or any other similar corporate transaction or event. The 2014 stock option plan expired on July 24, 2024 and no further shares are granted under the plan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i/>
          <w:color w:val="000000"/>
          <w:sz w:val="20"/>
        </w:rPr>
        <w:t xml:space="preserve">Performance Vested Stock Options </w:t>
      </w:r>
      <w:r>
        <w:rPr>
          <w:color w:val="000000"/>
        </w:rPr>
        <w:t xml:space="preserve">– </w:t>
      </w:r>
      <w:r>
        <w:rPr>
          <w:rFonts w:ascii="Times New Roman;serif" w:hAnsi="Times New Roman;serif"/>
          <w:b w:val="false"/>
          <w:color w:val="000000"/>
          <w:sz w:val="20"/>
        </w:rPr>
        <w:t>Generally all of the options granted through September 30, 2025 under the 2014 stock option plan have been pursuant to an equity incentive program adopted by the Company in 2008. Under the 2008 equity incentive program, generally all of the options granted will vest based on the Company’s achievement of established operating performance goals. The following table summarizes the activity, pricing and other information for the Company’s performance vested stock-based award activity during the fiscal year ended September 30, 2025:</w:t>
      </w:r>
    </w:p>
    <w:tbl>
      <w:tblPr>
        <w:tblW w:w="9881" w:type="dxa"/>
        <w:jc w:val="left"/>
        <w:tblInd w:w="0" w:type="dxa"/>
        <w:tblLayout w:type="fixed"/>
        <w:tblCellMar>
          <w:top w:w="28" w:type="dxa"/>
          <w:left w:w="28" w:type="dxa"/>
          <w:bottom w:w="28" w:type="dxa"/>
          <w:right w:w="28" w:type="dxa"/>
        </w:tblCellMar>
      </w:tblPr>
      <w:tblGrid>
        <w:gridCol w:w="1081"/>
        <w:gridCol w:w="950"/>
        <w:gridCol w:w="954"/>
        <w:gridCol w:w="488"/>
        <w:gridCol w:w="488"/>
        <w:gridCol w:w="296"/>
        <w:gridCol w:w="109"/>
        <w:gridCol w:w="109"/>
        <w:gridCol w:w="109"/>
        <w:gridCol w:w="298"/>
        <w:gridCol w:w="1018"/>
        <w:gridCol w:w="155"/>
        <w:gridCol w:w="109"/>
        <w:gridCol w:w="109"/>
        <w:gridCol w:w="109"/>
        <w:gridCol w:w="490"/>
        <w:gridCol w:w="490"/>
        <w:gridCol w:w="491"/>
        <w:gridCol w:w="109"/>
        <w:gridCol w:w="109"/>
        <w:gridCol w:w="109"/>
        <w:gridCol w:w="211"/>
        <w:gridCol w:w="13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Per</w:t>
              <w:br/>
              <w:t>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3,779,503 </w:t>
            </w:r>
          </w:p>
        </w:tc>
        <w:tc>
          <w:tcPr>
            <w:tcW w:w="29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466.18 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(462,368)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7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3,230,926 </w:t>
            </w:r>
          </w:p>
        </w:tc>
        <w:tc>
          <w:tcPr>
            <w:tcW w:w="29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2,683,510,208 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478,730 </w:t>
            </w:r>
          </w:p>
        </w:tc>
        <w:tc>
          <w:tcPr>
            <w:tcW w:w="2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309,877,142 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2,429,832 </w:t>
            </w:r>
          </w:p>
        </w:tc>
        <w:tc>
          <w:tcPr>
            <w:tcW w:w="2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376.64 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2,287,395,248 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2006 Stock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conjunction with the consummation of the Company’s initial public offering, a 2006 stock incentive plan was adopted by TD Group. In July 2008 and March 2011, the 2006 stock incentive plan was amended to increase the number of shares available for issuance thereunder. TD Group reserved 8,119,668 shares of its common stock for issuance to key employees, directors or consultants under the plan. The 2006 stock incentive plan expired on March 14, 2016 and no further shares are granted under the plan thereafter. At September 30, 2025, there were 1,450 options outstanding and exercisable under TD Group’s 2006 stock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performance options exercised during the fiscal years ended September 30, 2025, 2024 and 2023 was $600 million, $794 million and $500 million,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Dividends and Dividend Equivalent Plans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August 5, 2022, pursuant to the Fourth Amended and Restated TransDigm Group Incorporated 2006 Stock Incentive Plan Dividend Equivalent Plan, the Amended and Restated 2014 Stock Option Plan Dividend Equivalent Plan and the 2019 Stock Option Plan Dividend Equivalent Plan, all of the vested options granted under the existing stock option plans, except for grants to the members of the Board of Directors, are entitled to certain dividend equivalent payments in the event of the declaration of a special dividend by the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fiscal 2025, the Company's Board of Directors authorized and declared $90.00 in special dividends on each outstanding share of common stock and cash dividend equivalent payments on eligible vested options outstanding under its stock option plans. The total cash payment in September 2025 was approximately $5,073 million in special dividends and $159 million in cash dividend equivalent payments.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Dividend equivalents on vested options were $208 million, $233 million and $38 million during the fiscal years ended September 30, 2025, 2024 and 2023, respectively. At September 30, 2025, there was $59 million recorded in accrued and other current liabilities and $76 million recorded in other non-current liabilities on the consolidated balance sheets related to future dividend equivalent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LEASES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certain manufacturing facilities, offices, land, equipment and vehicles. Such leases, some of which are noncancellable and, in many cases, include renewals, expire at various dates. Such options to renew are included in the lease term when it is reasonably certain that the option will be exercised. The Company’s lease agreements typically do not contain any significant residual value guarantees or restrictive covenants, and payments within certain lease agreements are adjusted periodically for changes in an index or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Operating lease assets and liabilities are recognized at the commencement date of the lease based on the present value of lease payments over the lease term. Lease assets represent the Company’s right to use an underlying asset for the lease term and lease liabilities represent the Company’s obligation to make lease payments arising from the lease. The discount rate implicit within our leases is generally not determinable and therefore we determine the discount rate based on our incremental borrowing rate. The incremental borrowing rate for our leases is determined based on the lease term and the currency in which lease payments are made. The length of a lease term includes options to extend or terminate the lease when it is reasonably certain that the Company will exercise those options. The Company made an accounting policy election to not recognize lease assets or liabilities for leases with a term of twelve months or less. Additionally, when accounting for leases, the Company combines payments for leased assets, related services and other components of a lease.</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fiscal years ended September 30, 2025 and 2024 are as follows (in millions):</w:t>
      </w:r>
    </w:p>
    <w:tbl>
      <w:tblPr>
        <w:tblW w:w="9157" w:type="dxa"/>
        <w:jc w:val="left"/>
        <w:tblInd w:w="0" w:type="dxa"/>
        <w:tblLayout w:type="fixed"/>
        <w:tblCellMar>
          <w:top w:w="28" w:type="dxa"/>
          <w:left w:w="28" w:type="dxa"/>
          <w:bottom w:w="28" w:type="dxa"/>
          <w:right w:w="28" w:type="dxa"/>
        </w:tblCellMar>
      </w:tblPr>
      <w:tblGrid>
        <w:gridCol w:w="895"/>
        <w:gridCol w:w="787"/>
        <w:gridCol w:w="792"/>
        <w:gridCol w:w="1245"/>
        <w:gridCol w:w="1245"/>
        <w:gridCol w:w="1259"/>
        <w:gridCol w:w="109"/>
        <w:gridCol w:w="109"/>
        <w:gridCol w:w="109"/>
        <w:gridCol w:w="317"/>
        <w:gridCol w:w="543"/>
        <w:gridCol w:w="164"/>
        <w:gridCol w:w="164"/>
        <w:gridCol w:w="164"/>
        <w:gridCol w:w="164"/>
        <w:gridCol w:w="317"/>
        <w:gridCol w:w="543"/>
        <w:gridCol w:w="231"/>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7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of sales or selling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cost</w:t>
            </w:r>
          </w:p>
        </w:tc>
        <w:tc>
          <w:tcPr>
            <w:tcW w:w="3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fiscal years ended September 30, 2025 and 2024 is as follows (in millions):</w:t>
      </w:r>
    </w:p>
    <w:tbl>
      <w:tblPr>
        <w:tblW w:w="8483" w:type="dxa"/>
        <w:jc w:val="left"/>
        <w:tblInd w:w="0" w:type="dxa"/>
        <w:tblLayout w:type="fixed"/>
        <w:tblCellMar>
          <w:top w:w="28" w:type="dxa"/>
          <w:left w:w="28" w:type="dxa"/>
          <w:bottom w:w="28" w:type="dxa"/>
          <w:right w:w="28" w:type="dxa"/>
        </w:tblCellMar>
      </w:tblPr>
      <w:tblGrid>
        <w:gridCol w:w="2011"/>
        <w:gridCol w:w="1767"/>
        <w:gridCol w:w="1771"/>
        <w:gridCol w:w="109"/>
        <w:gridCol w:w="109"/>
        <w:gridCol w:w="109"/>
        <w:gridCol w:w="317"/>
        <w:gridCol w:w="543"/>
        <w:gridCol w:w="164"/>
        <w:gridCol w:w="164"/>
        <w:gridCol w:w="164"/>
        <w:gridCol w:w="164"/>
        <w:gridCol w:w="317"/>
        <w:gridCol w:w="543"/>
        <w:gridCol w:w="231"/>
      </w:tblGrid>
      <w:tr>
        <w:trPr/>
        <w:tc>
          <w:tcPr>
            <w:tcW w:w="201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 September 30,</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Right-of-use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is as follows (in millions):</w:t>
      </w:r>
    </w:p>
    <w:tbl>
      <w:tblPr>
        <w:tblW w:w="9487" w:type="dxa"/>
        <w:jc w:val="left"/>
        <w:tblInd w:w="0" w:type="dxa"/>
        <w:tblLayout w:type="fixed"/>
        <w:tblCellMar>
          <w:top w:w="28" w:type="dxa"/>
          <w:left w:w="28" w:type="dxa"/>
          <w:bottom w:w="28" w:type="dxa"/>
          <w:right w:w="28" w:type="dxa"/>
        </w:tblCellMar>
      </w:tblPr>
      <w:tblGrid>
        <w:gridCol w:w="1113"/>
        <w:gridCol w:w="978"/>
        <w:gridCol w:w="983"/>
        <w:gridCol w:w="874"/>
        <w:gridCol w:w="874"/>
        <w:gridCol w:w="877"/>
        <w:gridCol w:w="109"/>
        <w:gridCol w:w="109"/>
        <w:gridCol w:w="109"/>
        <w:gridCol w:w="413"/>
        <w:gridCol w:w="915"/>
        <w:gridCol w:w="216"/>
        <w:gridCol w:w="109"/>
        <w:gridCol w:w="109"/>
        <w:gridCol w:w="109"/>
        <w:gridCol w:w="402"/>
        <w:gridCol w:w="891"/>
        <w:gridCol w:w="297"/>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26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lease liabilities</w:t>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9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 net</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Property, plant and equipment-net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finance lease liabilities</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finance lease liabilities</w:t>
            </w:r>
          </w:p>
        </w:tc>
        <w:tc>
          <w:tcPr>
            <w:tcW w:w="2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9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has the following remaining lease term and weighted average discount rates:</w:t>
      </w:r>
    </w:p>
    <w:tbl>
      <w:tblPr>
        <w:tblW w:w="4500" w:type="dxa"/>
        <w:jc w:val="left"/>
        <w:tblInd w:w="0" w:type="dxa"/>
        <w:tblLayout w:type="fixed"/>
        <w:tblCellMar>
          <w:top w:w="28" w:type="dxa"/>
          <w:left w:w="28" w:type="dxa"/>
          <w:bottom w:w="28" w:type="dxa"/>
          <w:right w:w="28" w:type="dxa"/>
        </w:tblCellMar>
      </w:tblPr>
      <w:tblGrid>
        <w:gridCol w:w="1277"/>
        <w:gridCol w:w="1122"/>
        <w:gridCol w:w="1126"/>
        <w:gridCol w:w="285"/>
        <w:gridCol w:w="285"/>
        <w:gridCol w:w="40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 years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 years</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w:t>
            </w:r>
          </w:p>
        </w:tc>
      </w:tr>
    </w:tbl>
    <w:p>
      <w:pPr>
        <w:pStyle w:val="TextBody"/>
        <w:bidi w:val="0"/>
        <w:spacing w:lineRule="auto" w:line="288" w:before="160" w:after="283"/>
        <w:jc w:val="both"/>
        <w:rPr>
          <w:color w:val="000000"/>
        </w:rPr>
      </w:pPr>
      <w:r>
        <w:rPr>
          <w:color w:val="000000"/>
        </w:rPr>
        <w:t>    </w:t>
      </w:r>
      <w:r>
        <w:rPr>
          <w:rFonts w:ascii="Times New Roman;serif" w:hAnsi="Times New Roman;serif"/>
          <w:b w:val="false"/>
          <w:color w:val="000000"/>
          <w:sz w:val="20"/>
        </w:rPr>
        <w:t>Maturities of lease liabilities at September 30, 2025 are as follows (in millions):</w:t>
      </w:r>
    </w:p>
    <w:tbl>
      <w:tblPr>
        <w:tblW w:w="6325" w:type="dxa"/>
        <w:jc w:val="left"/>
        <w:tblInd w:w="0" w:type="dxa"/>
        <w:tblLayout w:type="fixed"/>
        <w:tblCellMar>
          <w:top w:w="28" w:type="dxa"/>
          <w:left w:w="28" w:type="dxa"/>
          <w:bottom w:w="28" w:type="dxa"/>
          <w:right w:w="28" w:type="dxa"/>
        </w:tblCellMar>
      </w:tblPr>
      <w:tblGrid>
        <w:gridCol w:w="1231"/>
        <w:gridCol w:w="1079"/>
        <w:gridCol w:w="1094"/>
        <w:gridCol w:w="422"/>
        <w:gridCol w:w="722"/>
        <w:gridCol w:w="220"/>
        <w:gridCol w:w="109"/>
        <w:gridCol w:w="109"/>
        <w:gridCol w:w="109"/>
        <w:gridCol w:w="312"/>
        <w:gridCol w:w="690"/>
        <w:gridCol w:w="228"/>
      </w:tblGrid>
      <w:tr>
        <w:trPr/>
        <w:tc>
          <w:tcPr>
            <w:tcW w:w="123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14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2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 reported</w:t>
            </w:r>
          </w:p>
        </w:tc>
        <w:tc>
          <w:tcPr>
            <w:tcW w:w="4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DERIVATIVES AND HEDGING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exposed to, among other things, the impact of changes in foreign currency exchange rates and interest rates in the normal course of business. The Company’s risk management program is designed to manage the exposure and volatility arising from these risks, and utilizes derivative financial instruments to offset a portion of these risks. The Company uses derivative financial instruments only to the extent necessary to hedge identified business risks and does not enter into such transactions for trading purposes. The Company generally does not require collateral or other security with counterparties to these financial instruments and is therefore subject to credit risk in the event of nonperformance; however, the Company monitors credit risk and currently does not anticipate nonperformance by other parties. These derivative financial instruments do not subject the Company to undue risk, as gains and losses on these instruments generally offset gains and losses on the underlying assets, liabilities, or anticipated transactions that are being hedged. The Company has agreements with each of its swap, cap and collar counterparties that contain a provision whereby if the Company defaults on the Credit Agreement, the Company could also be declared in default on its swaps, cap and collars resulting in an acceleration of settlement under the swaps, cap and collars.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in the consolidated balance sheets. For a derivative that has not been designated as an accounting hedge, the change in the fair value is recognized immediately through earnings. For a derivative that has been designated as an accounting hedge of an existing asset or liability (a fair value hedge), the change in the fair value of both the derivative and underlying asset or liability is recognized immediately through earnings. For a derivative designated as an accounting hedge of an anticipated transaction (a cash flow hedge), the change in the fair value is recorded on the consolidated balance sheets in accumulated other comprehensive loss to the extent the derivative is effective in mitigating the exposure related to the anticipated transaction. The change in the fair value related to the ineffective portion of the hedge, if any, is immediately recognized in earnings. The amount recorded within accumulated other comprehensive loss is reclassified into earnings in the same period during which the underlying hedged transaction affects earnings.</w:t>
      </w:r>
    </w:p>
    <w:p>
      <w:pPr>
        <w:pStyle w:val="TextBody"/>
        <w:bidi w:val="0"/>
        <w:spacing w:lineRule="auto" w:line="288" w:before="120" w:after="283"/>
        <w:jc w:val="both"/>
        <w:rPr/>
      </w:pPr>
      <w:r>
        <w:rPr>
          <w:rFonts w:ascii="Times New Roman;serif" w:hAnsi="Times New Roman;serif"/>
          <w:b/>
          <w:i/>
          <w:color w:val="000000"/>
          <w:sz w:val="20"/>
        </w:rPr>
        <w:t xml:space="preserve">Interest Rate Swap, Cap and Collar Agreements </w:t>
      </w:r>
      <w:r>
        <w:rPr>
          <w:color w:val="000000"/>
        </w:rPr>
        <w:t xml:space="preserve">– </w:t>
      </w:r>
      <w:r>
        <w:rPr>
          <w:rFonts w:ascii="Times New Roman;serif" w:hAnsi="Times New Roman;serif"/>
          <w:b w:val="false"/>
          <w:color w:val="000000"/>
          <w:sz w:val="20"/>
        </w:rPr>
        <w:t>Interest rate swap, cap and collar agreements are used to manage interest rate risk associated with floating rate borrowings, specifically the term loans, under our Credit Agreement. These agreements involve the receipt of floating rate amounts in exchange for fixed rate interest payments over the term of the agreements without an exchange of the underlying principal amount. The agreements utilized by the Company effectively modify the Company’s exposure to interest rate risk by converting a portion of the Company’s floating rate debt to a fixed rate basis from the effective date through the maturity date of the respective interest rate swap, cap and collar agreements, thereby reducing the impact of interest rate movements on future interest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fiscal 2025, we entered into forward starting interest rate collar agreements and interest rate swap agreements. The interest rate collar agreements, aggregating to a notional amount of $2,750 million, establish a range where we will pay the counterparties if the three-month Term SOFR rate falls below the established floor rate, and the counterparties will pay us if the three-month Term SOFR rate exceeds the ceiling rate as summarized in the table below. The collar will settle quarterly from the effective date through the maturity date. No payments or receipts will be exchanged on the interest rate collar contracts unless interest rates rise above or fall below the contracted ceiling or floor rates. The interest rate swap agreements hedge the variable interest rates on the Company's floating rate debt exposures for a fixed rate based on an aggregate notional amount of $2,750 million. The swap will settle quarterly from the effective date through the maturity date. The Company does not have any interest rate cap agreements as of September 30,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summarize the key terms of the swaps and collars as of September 30, 2025 (aggregated by effective date).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Interest rate swap agreements:</w:t>
      </w:r>
    </w:p>
    <w:tbl>
      <w:tblPr>
        <w:tblW w:w="10205" w:type="dxa"/>
        <w:jc w:val="left"/>
        <w:tblInd w:w="0" w:type="dxa"/>
        <w:tblLayout w:type="fixed"/>
        <w:tblCellMar>
          <w:top w:w="28" w:type="dxa"/>
          <w:left w:w="28" w:type="dxa"/>
          <w:bottom w:w="28" w:type="dxa"/>
          <w:right w:w="28" w:type="dxa"/>
        </w:tblCellMar>
      </w:tblPr>
      <w:tblGrid>
        <w:gridCol w:w="888"/>
        <w:gridCol w:w="780"/>
        <w:gridCol w:w="783"/>
        <w:gridCol w:w="109"/>
        <w:gridCol w:w="109"/>
        <w:gridCol w:w="109"/>
        <w:gridCol w:w="341"/>
        <w:gridCol w:w="341"/>
        <w:gridCol w:w="343"/>
        <w:gridCol w:w="109"/>
        <w:gridCol w:w="109"/>
        <w:gridCol w:w="109"/>
        <w:gridCol w:w="346"/>
        <w:gridCol w:w="346"/>
        <w:gridCol w:w="348"/>
        <w:gridCol w:w="109"/>
        <w:gridCol w:w="109"/>
        <w:gridCol w:w="109"/>
        <w:gridCol w:w="1385"/>
        <w:gridCol w:w="1368"/>
        <w:gridCol w:w="1955"/>
      </w:tblGrid>
      <w:tr>
        <w:trPr/>
        <w:tc>
          <w:tcPr>
            <w:tcW w:w="88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r>
      <w:tr>
        <w:trPr/>
        <w:tc>
          <w:tcPr>
            <w:tcW w:w="2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of Related Variable Rate Debt subject to Term SOFR to Fixed Rate of:</w:t>
            </w:r>
          </w:p>
        </w:tc>
      </w:tr>
      <w:tr>
        <w:trPr/>
        <w:tc>
          <w:tcPr>
            <w:tcW w:w="245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3.11% plus applicable margin percentage</w:t>
            </w:r>
          </w:p>
        </w:tc>
      </w:tr>
      <w:tr>
        <w:trPr/>
        <w:tc>
          <w:tcPr>
            <w:tcW w:w="2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3.12% plus applicable margin percentage</w:t>
            </w:r>
          </w:p>
        </w:tc>
      </w:tr>
      <w:tr>
        <w:trPr/>
        <w:tc>
          <w:tcPr>
            <w:tcW w:w="2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3.14% plus applicable margin percentage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bl>
      <w:tblPr>
        <w:tblW w:w="10205" w:type="dxa"/>
        <w:jc w:val="left"/>
        <w:tblInd w:w="0" w:type="dxa"/>
        <w:tblLayout w:type="fixed"/>
        <w:tblCellMar>
          <w:top w:w="28" w:type="dxa"/>
          <w:left w:w="28" w:type="dxa"/>
          <w:bottom w:w="28" w:type="dxa"/>
          <w:right w:w="28" w:type="dxa"/>
        </w:tblCellMar>
      </w:tblPr>
      <w:tblGrid>
        <w:gridCol w:w="931"/>
        <w:gridCol w:w="818"/>
        <w:gridCol w:w="821"/>
        <w:gridCol w:w="109"/>
        <w:gridCol w:w="109"/>
        <w:gridCol w:w="109"/>
        <w:gridCol w:w="348"/>
        <w:gridCol w:w="348"/>
        <w:gridCol w:w="350"/>
        <w:gridCol w:w="109"/>
        <w:gridCol w:w="109"/>
        <w:gridCol w:w="109"/>
        <w:gridCol w:w="353"/>
        <w:gridCol w:w="353"/>
        <w:gridCol w:w="355"/>
        <w:gridCol w:w="109"/>
        <w:gridCol w:w="109"/>
        <w:gridCol w:w="109"/>
        <w:gridCol w:w="1351"/>
        <w:gridCol w:w="1315"/>
        <w:gridCol w:w="1881"/>
      </w:tblGrid>
      <w:tr>
        <w:trPr/>
        <w:tc>
          <w:tcPr>
            <w:tcW w:w="931"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Notional Amount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Offsets Variable Rate Debt Attributable to Fluctuations Below and Above:</w:t>
            </w:r>
          </w:p>
        </w:tc>
      </w:tr>
      <w:tr>
        <w:trPr/>
        <w:tc>
          <w:tcPr>
            <w:tcW w:w="257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3.50%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2.00% (floor) and 3.91% (cap)</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2.50% (floor) and 4.50% (cap)</w:t>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Three-month Term SOFR rate of 2.21% (floor) and 4.25% (cap)</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qualify as effective cash flow hedges under U.S. GAAP. For our cash flow hedges, the effective portion of the gain or loss from the financial instruments is initially reported as a component of accumulated other comprehensive loss in stockholders’ deficit and subsequently reclassified into earnings in the same line as the hedged item in the same period or periods during which the hedged item affects earnings. As the interest rate swap, cap and collar agreements are used to manage interest rate risk, any gains or losses from the derivative instruments that are reclassified into earnings are recognized in interest expense-net in the consolidated statements of income. Cash flows related to the derivative contracts are included in cash flows from operating activities on the consolidated statements of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derivative asset and liability balances are offset where master netting agreements provide for the legal right of setoff. For classification purposes, we record the net fair value of each type of derivative position that is expected to settle in less than one year with each counterparty as a net current asset or liability and each type of long-term position as a net non-current asset or liability. The amounts shown in the table below represent the gross amounts of recognized assets and liabilities, the amounts offset in the consolidated balance sheets and the net amounts of assets and liabilities presented therein (in millions): </w:t>
      </w:r>
    </w:p>
    <w:tbl>
      <w:tblPr>
        <w:tblW w:w="9607" w:type="dxa"/>
        <w:jc w:val="left"/>
        <w:tblInd w:w="0" w:type="dxa"/>
        <w:tblLayout w:type="fixed"/>
        <w:tblCellMar>
          <w:top w:w="28" w:type="dxa"/>
          <w:left w:w="28" w:type="dxa"/>
          <w:bottom w:w="28" w:type="dxa"/>
          <w:right w:w="28" w:type="dxa"/>
        </w:tblCellMar>
      </w:tblPr>
      <w:tblGrid>
        <w:gridCol w:w="1956"/>
        <w:gridCol w:w="1720"/>
        <w:gridCol w:w="1724"/>
        <w:gridCol w:w="109"/>
        <w:gridCol w:w="109"/>
        <w:gridCol w:w="109"/>
        <w:gridCol w:w="211"/>
        <w:gridCol w:w="406"/>
        <w:gridCol w:w="109"/>
        <w:gridCol w:w="109"/>
        <w:gridCol w:w="109"/>
        <w:gridCol w:w="109"/>
        <w:gridCol w:w="211"/>
        <w:gridCol w:w="406"/>
        <w:gridCol w:w="109"/>
        <w:gridCol w:w="109"/>
        <w:gridCol w:w="109"/>
        <w:gridCol w:w="109"/>
        <w:gridCol w:w="211"/>
        <w:gridCol w:w="361"/>
        <w:gridCol w:w="109"/>
        <w:gridCol w:w="109"/>
        <w:gridCol w:w="109"/>
        <w:gridCol w:w="109"/>
        <w:gridCol w:w="222"/>
        <w:gridCol w:w="380"/>
        <w:gridCol w:w="164"/>
      </w:tblGrid>
      <w:tr>
        <w:trPr/>
        <w:tc>
          <w:tcPr>
            <w:tcW w:w="1956"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cap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collar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derivatives as classified in the consolidated balance sheets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Refer to Note 11, “Fair Value Measurements,” for the consolidated balance sheets classification of the Company’s interest rate swap, cap and collar agreements.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fair value amounts determined as of September 30, 2025, the estimated net amount of existing losses (gains) and caplet amortization expected to be reclassified into interest expense-net within the next twelve months is approximately $7 million. </w:t>
      </w:r>
    </w:p>
    <w:p>
      <w:pPr>
        <w:pStyle w:val="TextBody"/>
        <w:bidi w:val="0"/>
        <w:spacing w:lineRule="auto" w:line="288" w:before="120" w:after="283"/>
        <w:jc w:val="both"/>
        <w:rPr/>
      </w:pPr>
      <w:r>
        <w:rPr>
          <w:rFonts w:ascii="Times New Roman;serif" w:hAnsi="Times New Roman;serif"/>
          <w:b/>
          <w:i/>
          <w:color w:val="000000"/>
          <w:sz w:val="20"/>
        </w:rPr>
        <w:t xml:space="preserve">Foreign Currency Forward Exchange Contracts </w:t>
      </w:r>
      <w:r>
        <w:rPr>
          <w:color w:val="000000"/>
        </w:rPr>
        <w:t xml:space="preserve">– </w:t>
      </w:r>
      <w:r>
        <w:rPr>
          <w:rFonts w:ascii="Times New Roman;serif" w:hAnsi="Times New Roman;serif"/>
          <w:b w:val="false"/>
          <w:color w:val="000000"/>
          <w:sz w:val="20"/>
        </w:rPr>
        <w:t>The Company transacts business in various foreign currencies, which subjects the Company’s cash flows and earnings to exposure related to changes in foreign currency exchange rates. These exposures arise primarily from purchases or sales of products and services from third parties. Foreign currency forward exchange contracts provide for the purchase or sale of foreign currencies at specified future dates at specified exchange rates, and are used to offset changes in the fair value of certain assets or liabilities or forecasted cash flows resulting from transactions denominated in foreign currencies. At September 30, 2025, the Company has outstanding foreign currency forward exchange contracts to sell U.S. dollars with notional amounts of $118 million. The maximum duration of the Company’s foreign currency cash flow hedge contracts at September 30, 2025 is twelve months. These notional values consist of contracts for the Canadian dollar and the euro and are stated in U.S. dollar equivalents at spot exchange rates at the respective trade dates. Amounts related to foreign currency forward exchange contracts included in accumulated other comprehensive loss in stockholders' deficit are reclassified into net sales when the hedged transaction settles. As of September 30, 2025, the Company expects to record a net loss of approximately $2 million on foreign currency forward exchange contracts designated as cash flow hedges to net sales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ACCUMULATED OTHER COMPREHENSIVE LOSS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total changes by component in accumulated other comprehensive loss (“AOCL”), net of taxes, for the fiscal years ended September 30, 2025 and 2024 (in millions):</w:t>
      </w:r>
    </w:p>
    <w:tbl>
      <w:tblPr>
        <w:tblW w:w="10205" w:type="dxa"/>
        <w:jc w:val="left"/>
        <w:tblInd w:w="0" w:type="dxa"/>
        <w:tblLayout w:type="fixed"/>
        <w:tblCellMar>
          <w:top w:w="28" w:type="dxa"/>
          <w:left w:w="28" w:type="dxa"/>
          <w:bottom w:w="28" w:type="dxa"/>
          <w:right w:w="28" w:type="dxa"/>
        </w:tblCellMar>
      </w:tblPr>
      <w:tblGrid>
        <w:gridCol w:w="1102"/>
        <w:gridCol w:w="842"/>
        <w:gridCol w:w="849"/>
        <w:gridCol w:w="411"/>
        <w:gridCol w:w="909"/>
        <w:gridCol w:w="212"/>
        <w:gridCol w:w="109"/>
        <w:gridCol w:w="109"/>
        <w:gridCol w:w="109"/>
        <w:gridCol w:w="823"/>
        <w:gridCol w:w="1059"/>
        <w:gridCol w:w="427"/>
        <w:gridCol w:w="109"/>
        <w:gridCol w:w="109"/>
        <w:gridCol w:w="109"/>
        <w:gridCol w:w="450"/>
        <w:gridCol w:w="1127"/>
        <w:gridCol w:w="232"/>
        <w:gridCol w:w="109"/>
        <w:gridCol w:w="109"/>
        <w:gridCol w:w="109"/>
        <w:gridCol w:w="211"/>
        <w:gridCol w:w="408"/>
        <w:gridCol w:w="162"/>
      </w:tblGrid>
      <w:tr>
        <w:trPr/>
        <w:tc>
          <w:tcPr>
            <w:tcW w:w="110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Unrealized losses on derivatives </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Pension and post-retirement benefit plans adjustment </w:t>
            </w:r>
            <w:r>
              <w:rPr>
                <w:rFonts w:ascii="Times New Roman;serif" w:hAnsi="Times New Roman;serif"/>
                <w:b/>
                <w:color w:val="000000"/>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100" w:after="100"/>
              <w:jc w:val="center"/>
              <w:rPr/>
            </w:pPr>
            <w:r>
              <w:rPr>
                <w:rFonts w:ascii="Times New Roman;serif" w:hAnsi="Times New Roman;serif"/>
                <w:b/>
                <w:color w:val="000000"/>
                <w:sz w:val="14"/>
              </w:rPr>
              <w:t xml:space="preserve">Foreign currency translation adjustment </w:t>
            </w:r>
            <w:r>
              <w:rPr>
                <w:rFonts w:ascii="Times New Roman;serif" w:hAnsi="Times New Roman;serif"/>
                <w:b/>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2023</w:t>
            </w:r>
          </w:p>
        </w:tc>
        <w:tc>
          <w:tcPr>
            <w:tcW w:w="4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current-period other comprehensive (loss) income </w:t>
            </w:r>
            <w:r>
              <w:rPr>
                <w:rFonts w:ascii="Times New Roman;serif" w:hAnsi="Times New Roman;serif"/>
                <w:b w:val="false"/>
                <w:color w:val="000000"/>
                <w:sz w:val="12"/>
              </w:rPr>
              <w:t>(4)</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2024</w:t>
            </w:r>
          </w:p>
        </w:tc>
        <w:tc>
          <w:tcPr>
            <w:tcW w:w="132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27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current-period other comprehensive (loss) income </w:t>
            </w:r>
            <w:r>
              <w:rPr>
                <w:rFonts w:ascii="Times New Roman;serif" w:hAnsi="Times New Roman;serif"/>
                <w:b w:val="false"/>
                <w:color w:val="000000"/>
                <w:sz w:val="12"/>
              </w:rPr>
              <w:t>(4)</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4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Represents unrealized gains (losses) on derivatives designated and qualifying as cash flow hedges, net of tax (expense) benefit, of $8 million, $(37) million and $6 million for the fiscal years ended September 30, 2025, 2024 and 2023, respectively.</w:t>
      </w:r>
    </w:p>
    <w:p>
      <w:pPr>
        <w:pStyle w:val="TextBody"/>
        <w:bidi w:val="0"/>
        <w:spacing w:lineRule="auto" w:line="288" w:before="60" w:after="60"/>
        <w:ind w:left="0" w:right="0" w:hanging="360"/>
        <w:jc w:val="both"/>
        <w:rPr/>
      </w:pPr>
      <w:r>
        <w:rPr>
          <w:rFonts w:ascii="Times New Roman;serif" w:hAnsi="Times New Roman;serif"/>
          <w:b w:val="false"/>
          <w:color w:val="000000"/>
          <w:sz w:val="13"/>
        </w:rPr>
        <w:t>(2)</w:t>
      </w:r>
      <w:r>
        <w:rPr>
          <w:rFonts w:ascii="Times New Roman;serif" w:hAnsi="Times New Roman;serif"/>
          <w:b w:val="false"/>
          <w:color w:val="000000"/>
          <w:sz w:val="20"/>
        </w:rPr>
        <w:t>There were no material pension liability adjustments, net of taxes, related to activity for the defined pension plans and postretirement benefit plans for the fiscal years ended September 30, 2025 and 2024.</w:t>
      </w:r>
    </w:p>
    <w:p>
      <w:pPr>
        <w:pStyle w:val="TextBody"/>
        <w:bidi w:val="0"/>
        <w:spacing w:lineRule="auto" w:line="288" w:before="60" w:after="60"/>
        <w:ind w:left="0" w:right="0" w:hanging="360"/>
        <w:jc w:val="both"/>
        <w:rPr/>
      </w:pPr>
      <w:r>
        <w:rPr>
          <w:rFonts w:ascii="Times New Roman;serif" w:hAnsi="Times New Roman;serif"/>
          <w:b w:val="false"/>
          <w:color w:val="000000"/>
          <w:sz w:val="13"/>
        </w:rPr>
        <w:t>(3)</w:t>
      </w:r>
      <w:r>
        <w:rPr>
          <w:rFonts w:ascii="Times New Roman;serif" w:hAnsi="Times New Roman;serif"/>
          <w:b w:val="false"/>
          <w:color w:val="000000"/>
          <w:sz w:val="20"/>
        </w:rPr>
        <w:t xml:space="preserve">Represents gains (losses) resulting from foreign currency translation of financial statements, including gains (losses) from certain intercompany transactions, into U.S. dollars at the rates of exchange in effect at the balance sheet dates. Refer to Note 1, “Summary of Significant Accounting Policies,” for additional information. </w:t>
      </w:r>
    </w:p>
    <w:p>
      <w:pPr>
        <w:pStyle w:val="TextBody"/>
        <w:bidi w:val="0"/>
        <w:spacing w:lineRule="auto" w:line="288" w:before="60" w:after="60"/>
        <w:ind w:left="0" w:right="0" w:hanging="360"/>
        <w:jc w:val="both"/>
        <w:rPr/>
      </w:pPr>
      <w:r>
        <w:rPr>
          <w:rFonts w:ascii="Times New Roman;serif" w:hAnsi="Times New Roman;serif"/>
          <w:b w:val="false"/>
          <w:color w:val="000000"/>
          <w:sz w:val="13"/>
        </w:rPr>
        <w:t>(4)</w:t>
      </w:r>
      <w:r>
        <w:rPr>
          <w:rFonts w:ascii="Times New Roman;serif" w:hAnsi="Times New Roman;serif"/>
          <w:b w:val="false"/>
          <w:color w:val="000000"/>
          <w:sz w:val="20"/>
        </w:rPr>
        <w:t>Presented net of reclassifications out of AOCL into earnings, specifically net sales and interest expense-net, for realized (losses) gains on derivatives designated and qualifying as cash flow hedges of $(1) million (net of taxes of less than $(1) million) and $57 million (net of taxes of $18 million), respectively, for the fiscal year ended September 30, 2025 and $(3) million (net of taxes of $(1) million) and $106 million (net of taxes of $33 million) for the fiscal year ended September 30, 2024, respectively.</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VALUATION AND QUALIFYING ACCOUNTS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FOR THE FISCAL YEARS ENDED SEPTEMBER 30, 2025, 2024, AND 2023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(Amounts in millions)</w:t>
      </w:r>
    </w:p>
    <w:tbl>
      <w:tblPr>
        <w:tblW w:w="10205" w:type="dxa"/>
        <w:jc w:val="left"/>
        <w:tblInd w:w="0" w:type="dxa"/>
        <w:tblLayout w:type="fixed"/>
        <w:tblCellMar>
          <w:top w:w="28" w:type="dxa"/>
          <w:left w:w="28" w:type="dxa"/>
          <w:bottom w:w="28" w:type="dxa"/>
          <w:right w:w="28" w:type="dxa"/>
        </w:tblCellMar>
      </w:tblPr>
      <w:tblGrid>
        <w:gridCol w:w="796"/>
        <w:gridCol w:w="541"/>
        <w:gridCol w:w="545"/>
        <w:gridCol w:w="109"/>
        <w:gridCol w:w="109"/>
        <w:gridCol w:w="109"/>
        <w:gridCol w:w="315"/>
        <w:gridCol w:w="540"/>
        <w:gridCol w:w="166"/>
        <w:gridCol w:w="109"/>
        <w:gridCol w:w="109"/>
        <w:gridCol w:w="109"/>
        <w:gridCol w:w="500"/>
        <w:gridCol w:w="607"/>
        <w:gridCol w:w="259"/>
        <w:gridCol w:w="109"/>
        <w:gridCol w:w="109"/>
        <w:gridCol w:w="109"/>
        <w:gridCol w:w="476"/>
        <w:gridCol w:w="916"/>
        <w:gridCol w:w="247"/>
        <w:gridCol w:w="109"/>
        <w:gridCol w:w="109"/>
        <w:gridCol w:w="109"/>
        <w:gridCol w:w="527"/>
        <w:gridCol w:w="940"/>
        <w:gridCol w:w="274"/>
        <w:gridCol w:w="109"/>
        <w:gridCol w:w="109"/>
        <w:gridCol w:w="109"/>
        <w:gridCol w:w="266"/>
        <w:gridCol w:w="455"/>
        <w:gridCol w:w="200"/>
      </w:tblGrid>
      <w:tr>
        <w:trPr/>
        <w:tc>
          <w:tcPr>
            <w:tcW w:w="7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Column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Column E</w:t>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 of</w:t>
              <w:br/>
              <w:t>Period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Divestitures &amp; Deductions from</w:t>
            </w:r>
          </w:p>
          <w:p>
            <w:pPr>
              <w:pStyle w:val="TableContents"/>
              <w:bidi w:val="0"/>
              <w:spacing w:lineRule="auto" w:line="240" w:before="0" w:after="0"/>
              <w:jc w:val="center"/>
              <w:rPr/>
            </w:pPr>
            <w:r>
              <w:rPr>
                <w:rFonts w:ascii="Times New Roman;serif" w:hAnsi="Times New Roman;serif"/>
                <w:b/>
                <w:color w:val="000000"/>
                <w:sz w:val="16"/>
              </w:rPr>
              <w:t xml:space="preserve">Reserve </w:t>
            </w:r>
            <w:r>
              <w:rPr>
                <w:rFonts w:ascii="Times New Roman;serif" w:hAnsi="Times New Roman;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w:t>
              <w:br/>
              <w:t>Period</w:t>
            </w:r>
          </w:p>
        </w:tc>
      </w:tr>
      <w:tr>
        <w:trPr/>
        <w:tc>
          <w:tcPr>
            <w:tcW w:w="18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Costs</w:t>
              <w:br/>
              <w:t>and Expenses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Acquisitions &amp; Purchase Price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uncollectible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valuation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The amounts in this column represent the impact from divestitures, charge-offs net of recoveries and the impact of foreign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348eacf94acd4c1ca064b10a69770101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FORM 10-K FOR THE YEAR ENDED SEPTEMBER 30, 2025</w:t>
      </w:r>
    </w:p>
    <w:tbl>
      <w:tblPr>
        <w:tblW w:w="10205" w:type="dxa"/>
        <w:jc w:val="left"/>
        <w:tblInd w:w="0" w:type="dxa"/>
        <w:tblLayout w:type="fixed"/>
        <w:tblCellMar>
          <w:top w:w="28" w:type="dxa"/>
          <w:left w:w="28" w:type="dxa"/>
          <w:bottom w:w="28" w:type="dxa"/>
          <w:right w:w="28" w:type="dxa"/>
        </w:tblCellMar>
      </w:tblPr>
      <w:tblGrid>
        <w:gridCol w:w="323"/>
        <w:gridCol w:w="284"/>
        <w:gridCol w:w="285"/>
        <w:gridCol w:w="109"/>
        <w:gridCol w:w="109"/>
        <w:gridCol w:w="109"/>
        <w:gridCol w:w="2707"/>
        <w:gridCol w:w="2580"/>
        <w:gridCol w:w="3699"/>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6amendedandrestat.htm">
              <w:r>
                <w:rPr>
                  <w:rStyle w:val="InternetLink"/>
                  <w:rFonts w:ascii="Times New Roman;serif" w:hAnsi="Times New Roman;serif"/>
                  <w:b w:val="false"/>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exhibit106amendedandrestat.htm">
              <w:r>
                <w:rPr>
                  <w:rStyle w:val="InternetLink"/>
                  <w:rFonts w:ascii="Times New Roman;serif" w:hAnsi="Times New Roman;serif"/>
                  <w:b w:val="false"/>
                  <w:color w:val="0000FF"/>
                  <w:sz w:val="20"/>
                  <w:u w:val="single"/>
                </w:rPr>
                <w:t>Amended and Restated Employment Agreement, dated August 5, 2025, between the Company and Patrick J. Murphy</w:t>
              </w:r>
            </w:hyperlink>
            <w:r>
              <w:rPr>
                <w:rFonts w:ascii="Times New Roman;serif" w:hAnsi="Times New Roman;serif"/>
                <w:b w:val="false"/>
                <w:color w:val="000000"/>
                <w:sz w:val="20"/>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7employmentagreem.htm">
              <w:r>
                <w:rPr>
                  <w:rStyle w:val="InternetLink"/>
                  <w:rFonts w:ascii="Times New Roman;serif" w:hAnsi="Times New Roman;serif"/>
                  <w:b w:val="false"/>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7employmentagreem.htm">
              <w:r>
                <w:rPr>
                  <w:rStyle w:val="InternetLink"/>
                  <w:rFonts w:ascii="Times New Roman;serif" w:hAnsi="Times New Roman;serif"/>
                  <w:b w:val="false"/>
                  <w:color w:val="0000FF"/>
                  <w:sz w:val="20"/>
                  <w:u w:val="single"/>
                </w:rPr>
                <w:t>Employment Agreement, dated July 7, 2025, between the Company and Armani Vadiee</w:t>
              </w:r>
            </w:hyperlink>
            <w:r>
              <w:rPr>
                <w:rFonts w:ascii="Times New Roman;serif" w:hAnsi="Times New Roman;serif"/>
                <w:b w:val="false"/>
                <w:color w:val="000000"/>
                <w:sz w:val="20"/>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formofstockopti.htm">
              <w:r>
                <w:rPr>
                  <w:rStyle w:val="InternetLink"/>
                  <w:rFonts w:ascii="Times New Roman;serif" w:hAnsi="Times New Roman;serif"/>
                  <w:b w:val="false"/>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3formofstockopti.htm">
              <w:r>
                <w:rPr>
                  <w:rStyle w:val="InternetLink"/>
                  <w:rFonts w:ascii="Times New Roman;serif" w:hAnsi="Times New Roman;serif"/>
                  <w:b w:val="false"/>
                  <w:color w:val="000080"/>
                  <w:sz w:val="20"/>
                  <w:u w:val="single"/>
                </w:rPr>
                <w:t xml:space="preserve">Form of Stock Option </w:t>
              </w:r>
            </w:hyperlink>
            <w:hyperlink w:anchor="exhibit1023formofstockopti.htm">
              <w:r>
                <w:rPr>
                  <w:rStyle w:val="InternetLink"/>
                  <w:rFonts w:ascii="Times New Roman;serif" w:hAnsi="Times New Roman;serif"/>
                  <w:b w:val="false"/>
                  <w:color w:val="000080"/>
                  <w:sz w:val="20"/>
                  <w:u w:val="single"/>
                </w:rPr>
                <w:t xml:space="preserve">Agreement for </w:t>
              </w:r>
            </w:hyperlink>
            <w:hyperlink w:anchor="exhibit1023formofstockopti.htm">
              <w:r>
                <w:rPr>
                  <w:rStyle w:val="InternetLink"/>
                  <w:rFonts w:ascii="Times New Roman;serif" w:hAnsi="Times New Roman;serif"/>
                  <w:b w:val="false"/>
                  <w:color w:val="000080"/>
                  <w:sz w:val="20"/>
                  <w:u w:val="single"/>
                </w:rPr>
                <w:t>Director and NEO op</w:t>
              </w:r>
            </w:hyperlink>
            <w:hyperlink w:anchor="exhibit1023formofstockopti.htm">
              <w:r>
                <w:rPr>
                  <w:rStyle w:val="InternetLink"/>
                  <w:rFonts w:ascii="Times New Roman;serif" w:hAnsi="Times New Roman;serif"/>
                  <w:b w:val="false"/>
                  <w:color w:val="000080"/>
                  <w:sz w:val="20"/>
                  <w:u w:val="single"/>
                </w:rPr>
                <w:t>tions</w:t>
              </w:r>
            </w:hyperlink>
            <w:hyperlink w:anchor="exhibit1023formofstockopti.htm">
              <w:r>
                <w:rPr>
                  <w:rStyle w:val="InternetLink"/>
                  <w:rFonts w:ascii="Times New Roman;serif" w:hAnsi="Times New Roman;serif"/>
                  <w:b w:val="false"/>
                  <w:color w:val="000080"/>
                  <w:sz w:val="20"/>
                  <w:u w:val="single"/>
                </w:rPr>
                <w:t xml:space="preserve"> awarded in fiscal 2026</w:t>
              </w:r>
            </w:hyperlink>
            <w:r>
              <w:rPr>
                <w:rFonts w:ascii="Times New Roman;serif" w:hAnsi="Times New Roman;serif"/>
                <w:b w:val="false"/>
                <w:color w:val="000000"/>
                <w:sz w:val="20"/>
              </w:rPr>
              <w: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tdg202510-k.htm">
              <w:r>
                <w:rPr>
                  <w:rStyle w:val="InternetLink"/>
                  <w:rFonts w:ascii="Times New Roman;serif" w:hAnsi="Times New Roman;serif"/>
                  <w:b w:val="false"/>
                  <w:color w:val="0000FF"/>
                  <w:sz w:val="20"/>
                  <w:u w:val="single"/>
                </w:rPr>
                <w:t>21.1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tdg202510-k.htm">
              <w:r>
                <w:rPr>
                  <w:rStyle w:val="InternetLink"/>
                  <w:rFonts w:ascii="Times New Roman;serif" w:hAnsi="Times New Roman;serif"/>
                  <w:b w:val="false"/>
                  <w:color w:val="0000FF"/>
                  <w:sz w:val="20"/>
                  <w:u w:val="single"/>
                </w:rPr>
                <w:t>Subsidiaries of TransDigm Group Incorporated</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1tdg202510-k.htm">
              <w:r>
                <w:rPr>
                  <w:rStyle w:val="InternetLink"/>
                  <w:rFonts w:ascii="Times New Roman;serif" w:hAnsi="Times New Roman;serif"/>
                  <w:b w:val="false"/>
                  <w:color w:val="0000FF"/>
                  <w:sz w:val="20"/>
                  <w:u w:val="single"/>
                </w:rPr>
                <w:t>22.1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1tdg202510-k.htm">
              <w:r>
                <w:rPr>
                  <w:rStyle w:val="InternetLink"/>
                  <w:rFonts w:ascii="Times New Roman;serif" w:hAnsi="Times New Roman;serif"/>
                  <w:b w:val="false"/>
                  <w:color w:val="0000FF"/>
                  <w:sz w:val="20"/>
                  <w:u w:val="single"/>
                </w:rPr>
                <w:t>Listing of Subsidiary Guarantors</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tdg202510-k.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tdg202510-k.htm">
              <w:r>
                <w:rPr>
                  <w:rStyle w:val="InternetLink"/>
                  <w:rFonts w:ascii="Times New Roman;serif" w:hAnsi="Times New Roman;serif"/>
                  <w:b w:val="false"/>
                  <w:color w:val="0000FF"/>
                  <w:sz w:val="20"/>
                  <w:u w:val="single"/>
                </w:rPr>
                <w:t>Consent of Independent Registered Public Accounting Firm</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tdg202510-k.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tdg202510-k.htm">
              <w:r>
                <w:rPr>
                  <w:rStyle w:val="InternetLink"/>
                  <w:rFonts w:ascii="Times New Roman;serif" w:hAnsi="Times New Roman;serif"/>
                  <w:b w:val="false"/>
                  <w:color w:val="0000FF"/>
                  <w:sz w:val="20"/>
                  <w:u w:val="single"/>
                </w:rPr>
                <w:t>Certification by Principal Executive Officer of TransDigm Group Incorporated pursuant to Rule 13a-14(a) or 15d-14(a) of the Securities Exchange Act of 1934, as adopted pursuant to Section 302 of the Sarbanes-Oxley Act of 2002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tdg202510-k.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tdg202510-k.htm">
              <w:r>
                <w:rPr>
                  <w:rStyle w:val="InternetLink"/>
                  <w:rFonts w:ascii="Times New Roman;serif" w:hAnsi="Times New Roman;serif"/>
                  <w:b w:val="false"/>
                  <w:color w:val="0000FF"/>
                  <w:sz w:val="20"/>
                  <w:u w:val="single"/>
                </w:rPr>
                <w:t>Certification by Principal Financial Officer of TransDigm Group Incorporated pursuant to Rule 13a-14(a) or 15d-14(a) of the Securities Exchange Act of 1934, as adopted pursuant to Section 302 of the Sarbanes-Oxley Act of 2002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tdg202510-k.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tdg202510-k.htm">
              <w:r>
                <w:rPr>
                  <w:rStyle w:val="InternetLink"/>
                  <w:rFonts w:ascii="Times New Roman;serif" w:hAnsi="Times New Roman;serif"/>
                  <w:b w:val="false"/>
                  <w:color w:val="0000FF"/>
                  <w:sz w:val="20"/>
                  <w:u w:val="single"/>
                </w:rPr>
                <w:t>Certification by Principal Executive Officer of TransDigm Group Incorporated pursuant to 18 U.S.C. Section 1350, as adopted pursuant to Section 906 of the Sarbanes-Oxley Act of 2002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tdg202510-k.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tdg202510-k.htm">
              <w:r>
                <w:rPr>
                  <w:rStyle w:val="InternetLink"/>
                  <w:rFonts w:ascii="Times New Roman;serif" w:hAnsi="Times New Roman;serif"/>
                  <w:b w:val="false"/>
                  <w:color w:val="0000FF"/>
                  <w:sz w:val="20"/>
                  <w:u w:val="single"/>
                </w:rPr>
                <w:t>Certification by Principal Financial Officer of TransDigm Group Incorporated pursuant to 18 U.S.C. Section 1350, as adopted pursuant to Section 906 of the Sarbanes-Oxley Act of 2002</w:t>
              </w:r>
            </w:hyperlink>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 The XBRL Instance Document does not appear in the Interactive Data File because its XBRL tags are embedded within the Inline XBRL document</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 and are contained within Exhibit 101</w:t>
            </w:r>
          </w:p>
        </w:tc>
      </w:tr>
    </w:tbl>
    <w:tbl>
      <w:tblPr>
        <w:tblW w:w="5952" w:type="dxa"/>
        <w:jc w:val="center"/>
        <w:tblInd w:w="0" w:type="dxa"/>
        <w:tblLayout w:type="fixed"/>
        <w:tblCellMar>
          <w:top w:w="28" w:type="dxa"/>
          <w:left w:w="28" w:type="dxa"/>
          <w:bottom w:w="28" w:type="dxa"/>
          <w:right w:w="28" w:type="dxa"/>
        </w:tblCellMar>
      </w:tblPr>
      <w:tblGrid>
        <w:gridCol w:w="124"/>
        <w:gridCol w:w="109"/>
        <w:gridCol w:w="109"/>
        <w:gridCol w:w="872"/>
        <w:gridCol w:w="872"/>
        <w:gridCol w:w="872"/>
        <w:gridCol w:w="872"/>
        <w:gridCol w:w="872"/>
        <w:gridCol w:w="1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Indicates management contract or compensatory plan contract or arrangement.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5"/>
        </w:rPr>
      </w:pPr>
      <w:r>
        <w:rPr>
          <w:rFonts w:ascii="Times New Roman;serif" w:hAnsi="Times New Roman;serif"/>
          <w:b/>
          <w:color w:val="000000"/>
          <w:sz w:val="25"/>
        </w:rPr>
        <w:t>AMENDED AND RESTATED EMPLOYMENT AGREEMENT</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THIS AMENDED AND RESTATED EMPLOYMENT AGREEMENT (this “Agreement”), dated as of August 5, 2025, is made by and between TransDigm Group Incorporated, a Delaware corporation (the “Company”), and Patrick Murphy (the “Executive”). This Agreement is a continuation of, and amends and restates in its entirety, the Employment Agreement, dated as of November 14, 2019, by and between the Company and the Executive (the “Original Agreement”), which Original Agreement was amended as of October 2, 2021 and August 13, 2024 (as amended, the “Amended Agreement”). </w:t>
      </w:r>
    </w:p>
    <w:p>
      <w:pPr>
        <w:pStyle w:val="TextBody"/>
        <w:bidi w:val="0"/>
        <w:spacing w:lineRule="auto" w:line="288" w:before="0" w:after="120"/>
        <w:jc w:val="center"/>
        <w:rPr>
          <w:rFonts w:ascii="Times New Roman;serif" w:hAnsi="Times New Roman;serif"/>
          <w:b/>
          <w:color w:val="000000"/>
          <w:sz w:val="25"/>
        </w:rPr>
      </w:pPr>
      <w:r>
        <w:rPr>
          <w:rFonts w:ascii="Times New Roman;serif" w:hAnsi="Times New Roman;serif"/>
          <w:b/>
          <w:color w:val="000000"/>
          <w:sz w:val="25"/>
        </w:rPr>
        <w:t xml:space="preserve">RECITALS: </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WHEREAS, prior to August 5, 2025, the Executive held the position of Executive Vice President of the Company;</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WHEREAS, as of August 5, 2025, the Executive holds the position of co-Chief Operating Officer of the Company; and </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WHEREAS, the parties hereto desire to revise the Amended Agreement in the form of this Agreement to reflect the terms and conditions pursuant to which the Executive will continue to serve the Company on and after August 5, 2025. </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NOW, THEREFORE, in consideration of the foregoing and of the respective covenants and agreements set forth below, the parties hereto agree as follows: </w:t>
      </w:r>
    </w:p>
    <w:p>
      <w:pPr>
        <w:pStyle w:val="TextBody"/>
        <w:bidi w:val="0"/>
        <w:spacing w:lineRule="auto" w:line="288" w:before="0" w:after="120"/>
        <w:ind w:left="0" w:right="0" w:hanging="360"/>
        <w:jc w:val="left"/>
        <w:rPr/>
      </w:pPr>
      <w:r>
        <w:rPr>
          <w:rFonts w:ascii="Times New Roman;serif" w:hAnsi="Times New Roman;serif"/>
          <w:b w:val="false"/>
          <w:color w:val="000000"/>
          <w:sz w:val="25"/>
        </w:rPr>
        <w:t>1.</w:t>
      </w:r>
      <w:r>
        <w:rPr>
          <w:rFonts w:ascii="Times New Roman;serif" w:hAnsi="Times New Roman;serif"/>
          <w:b w:val="false"/>
          <w:color w:val="000000"/>
          <w:sz w:val="25"/>
          <w:u w:val="single"/>
        </w:rPr>
        <w:t>Certain Definitions</w:t>
      </w:r>
      <w:r>
        <w:rPr>
          <w:rFonts w:ascii="Times New Roman;serif" w:hAnsi="Times New Roman;serif"/>
          <w:b w:val="false"/>
          <w:color w:val="000000"/>
          <w:sz w:val="25"/>
        </w:rPr>
        <w:t xml:space="preserve">. </w:t>
      </w:r>
    </w:p>
    <w:p>
      <w:pPr>
        <w:pStyle w:val="TextBody"/>
        <w:bidi w:val="0"/>
        <w:spacing w:lineRule="auto" w:line="288" w:before="0" w:after="120"/>
        <w:jc w:val="left"/>
        <w:rPr/>
      </w:pPr>
      <w:r>
        <w:rPr>
          <w:rFonts w:ascii="Times New Roman;serif" w:hAnsi="Times New Roman;serif"/>
          <w:b w:val="false"/>
          <w:color w:val="000000"/>
          <w:sz w:val="24"/>
        </w:rPr>
        <w:t>(a) “</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have the meaning set forth in the preamble hereto.</w:t>
      </w:r>
    </w:p>
    <w:p>
      <w:pPr>
        <w:pStyle w:val="TextBody"/>
        <w:bidi w:val="0"/>
        <w:spacing w:lineRule="auto" w:line="288" w:before="0" w:after="120"/>
        <w:ind w:left="0" w:right="0" w:firstLine="490"/>
        <w:jc w:val="left"/>
        <w:rPr/>
      </w:pPr>
      <w:r>
        <w:rPr>
          <w:rFonts w:ascii="Times New Roman;serif" w:hAnsi="Times New Roman;serif"/>
          <w:b w:val="false"/>
          <w:color w:val="000000"/>
          <w:sz w:val="25"/>
        </w:rPr>
        <w:t>(b) “</w:t>
      </w:r>
      <w:r>
        <w:rPr>
          <w:rFonts w:ascii="Times New Roman;serif" w:hAnsi="Times New Roman;serif"/>
          <w:b w:val="false"/>
          <w:color w:val="000000"/>
          <w:sz w:val="25"/>
          <w:u w:val="single"/>
        </w:rPr>
        <w:t>Annual Base Salary</w:t>
      </w:r>
      <w:r>
        <w:rPr>
          <w:color w:val="000000"/>
        </w:rPr>
        <w:t xml:space="preserve">” </w:t>
      </w:r>
      <w:r>
        <w:rPr>
          <w:rFonts w:ascii="Times New Roman;serif" w:hAnsi="Times New Roman;serif"/>
          <w:b w:val="false"/>
          <w:color w:val="000000"/>
          <w:sz w:val="25"/>
        </w:rPr>
        <w:t xml:space="preserve">shall have the meaning set forth in Section 4(a). </w:t>
      </w:r>
    </w:p>
    <w:p>
      <w:pPr>
        <w:pStyle w:val="TextBody"/>
        <w:bidi w:val="0"/>
        <w:spacing w:lineRule="auto" w:line="288" w:before="0" w:after="120"/>
        <w:ind w:left="0" w:right="0" w:firstLine="490"/>
        <w:jc w:val="left"/>
        <w:rPr/>
      </w:pPr>
      <w:r>
        <w:rPr>
          <w:rFonts w:ascii="Times New Roman;serif" w:hAnsi="Times New Roman;serif"/>
          <w:b w:val="false"/>
          <w:color w:val="000000"/>
          <w:sz w:val="25"/>
        </w:rPr>
        <w:t>(c) “</w:t>
      </w:r>
      <w:r>
        <w:rPr>
          <w:rFonts w:ascii="Times New Roman;serif" w:hAnsi="Times New Roman;serif"/>
          <w:b w:val="false"/>
          <w:color w:val="000000"/>
          <w:sz w:val="25"/>
          <w:u w:val="single"/>
        </w:rPr>
        <w:t>Board</w:t>
      </w:r>
      <w:r>
        <w:rPr>
          <w:color w:val="000000"/>
        </w:rPr>
        <w:t xml:space="preserve">” </w:t>
      </w:r>
      <w:r>
        <w:rPr>
          <w:rFonts w:ascii="Times New Roman;serif" w:hAnsi="Times New Roman;serif"/>
          <w:b w:val="false"/>
          <w:color w:val="000000"/>
          <w:sz w:val="25"/>
        </w:rPr>
        <w:t xml:space="preserve">shall mean the Board of Directors of the Company. </w:t>
      </w:r>
    </w:p>
    <w:p>
      <w:pPr>
        <w:pStyle w:val="TextBody"/>
        <w:bidi w:val="0"/>
        <w:spacing w:lineRule="auto" w:line="288" w:before="0" w:after="120"/>
        <w:ind w:left="0" w:right="0" w:firstLine="490"/>
        <w:jc w:val="left"/>
        <w:rPr/>
      </w:pPr>
      <w:r>
        <w:rPr>
          <w:rFonts w:ascii="Times New Roman;serif" w:hAnsi="Times New Roman;serif"/>
          <w:b w:val="false"/>
          <w:color w:val="000000"/>
          <w:sz w:val="25"/>
        </w:rPr>
        <w:t>(d) “</w:t>
      </w:r>
      <w:r>
        <w:rPr>
          <w:rFonts w:ascii="Times New Roman;serif" w:hAnsi="Times New Roman;serif"/>
          <w:b w:val="false"/>
          <w:color w:val="000000"/>
          <w:sz w:val="25"/>
          <w:u w:val="single"/>
        </w:rPr>
        <w:t>Cause</w:t>
      </w:r>
      <w:r>
        <w:rPr>
          <w:color w:val="000000"/>
        </w:rPr>
        <w:t xml:space="preserve">” </w:t>
      </w:r>
      <w:r>
        <w:rPr>
          <w:rFonts w:ascii="Times New Roman;serif" w:hAnsi="Times New Roman;serif"/>
          <w:b w:val="false"/>
          <w:color w:val="000000"/>
          <w:sz w:val="25"/>
        </w:rPr>
        <w:t xml:space="preserve">shall mean either of the following: (i) the repeated failure by the Executive, after written notice from the Board, substantially to perform the Executive’s material duties and responsibilities as an officer or employee or director of the Company or any of its subsidiaries (other than any such failure resulting from incapacity due to reasonably documented physical or mental illness); or (ii) any willful misconduct by the Executive that has the effect of materially injuring the business of the Company or any of its subsidiaries, including, without limitation, the disclosure of material secret or confidential information of the Company or any of its subsidiaries. </w:t>
      </w:r>
    </w:p>
    <w:p>
      <w:pPr>
        <w:pStyle w:val="TextBody"/>
        <w:bidi w:val="0"/>
        <w:spacing w:lineRule="auto" w:line="288" w:before="0" w:after="120"/>
        <w:ind w:left="0" w:right="0" w:firstLine="490"/>
        <w:jc w:val="left"/>
        <w:rPr/>
      </w:pPr>
      <w:r>
        <w:rPr>
          <w:rFonts w:ascii="Times New Roman;serif" w:hAnsi="Times New Roman;serif"/>
          <w:b w:val="false"/>
          <w:color w:val="000000"/>
          <w:sz w:val="24"/>
        </w:rPr>
        <w:t>(e) “</w:t>
      </w:r>
      <w:r>
        <w:rPr>
          <w:rFonts w:ascii="Times New Roman;serif" w:hAnsi="Times New Roman;serif"/>
          <w:b w:val="false"/>
          <w:color w:val="000000"/>
          <w:sz w:val="24"/>
          <w:u w:val="single"/>
        </w:rPr>
        <w:t>COBRA</w:t>
      </w:r>
      <w:r>
        <w:rPr>
          <w:color w:val="000000"/>
        </w:rPr>
        <w:t xml:space="preserve">” </w:t>
      </w:r>
      <w:r>
        <w:rPr>
          <w:rFonts w:ascii="Times New Roman;serif" w:hAnsi="Times New Roman;serif"/>
          <w:b w:val="false"/>
          <w:color w:val="000000"/>
          <w:sz w:val="24"/>
        </w:rPr>
        <w:t xml:space="preserve">shall mean the Consolidated Omnibus Budget Reconciliation Act of 1985, as may be amended from time to time. </w:t>
      </w:r>
    </w:p>
    <w:p>
      <w:pPr>
        <w:pStyle w:val="TextBody"/>
        <w:bidi w:val="0"/>
        <w:spacing w:lineRule="auto" w:line="288" w:before="0" w:after="120"/>
        <w:ind w:left="0" w:right="0" w:firstLine="490"/>
        <w:jc w:val="left"/>
        <w:rPr/>
      </w:pPr>
      <w:r>
        <w:rPr>
          <w:rFonts w:ascii="Times New Roman;serif" w:hAnsi="Times New Roman;serif"/>
          <w:b w:val="false"/>
          <w:color w:val="000000"/>
          <w:sz w:val="25"/>
        </w:rPr>
        <w:t>(f) “</w:t>
      </w:r>
      <w:r>
        <w:rPr>
          <w:rFonts w:ascii="Times New Roman;serif" w:hAnsi="Times New Roman;serif"/>
          <w:b w:val="false"/>
          <w:color w:val="000000"/>
          <w:sz w:val="25"/>
          <w:u w:val="single"/>
        </w:rPr>
        <w:t>Code</w:t>
      </w:r>
      <w:r>
        <w:rPr>
          <w:color w:val="000000"/>
        </w:rPr>
        <w:t xml:space="preserve">” </w:t>
      </w:r>
      <w:r>
        <w:rPr>
          <w:rFonts w:ascii="Times New Roman;serif" w:hAnsi="Times New Roman;serif"/>
          <w:b w:val="false"/>
          <w:color w:val="000000"/>
          <w:sz w:val="25"/>
        </w:rPr>
        <w:t xml:space="preserve">shall mean the Internal Revenue Code of 1986, as amended. Reference to a Section of the Code includes all rulings, regulations, notices, announcements, decisions, orders and other pronouncements that are issued by the United States Department of the Treasury, the Internal Revenue Service, or any court of competent jurisdiction that are lawful and pertinent to the interpretation, application or effectiveness of such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70890"/>
                <wp:effectExtent l="0" t="0" r="0" b="0"/>
                <wp:wrapNone/>
                <wp:docPr id="96" name="Frame9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490"/>
        <w:jc w:val="left"/>
        <w:rPr/>
      </w:pPr>
      <w:r>
        <w:rPr>
          <w:rFonts w:ascii="Times New Roman;serif" w:hAnsi="Times New Roman;serif"/>
          <w:b w:val="false"/>
          <w:color w:val="000000"/>
          <w:sz w:val="25"/>
        </w:rPr>
        <w:t>(g) “</w:t>
      </w:r>
      <w:r>
        <w:rPr>
          <w:rFonts w:ascii="Times New Roman;serif" w:hAnsi="Times New Roman;serif"/>
          <w:b w:val="false"/>
          <w:color w:val="000000"/>
          <w:sz w:val="25"/>
          <w:u w:val="single"/>
        </w:rPr>
        <w:t>Common Stock</w:t>
      </w:r>
      <w:r>
        <w:rPr>
          <w:color w:val="000000"/>
        </w:rPr>
        <w:t xml:space="preserve">” </w:t>
      </w:r>
      <w:r>
        <w:rPr>
          <w:rFonts w:ascii="Times New Roman;serif" w:hAnsi="Times New Roman;serif"/>
          <w:b w:val="false"/>
          <w:color w:val="000000"/>
          <w:sz w:val="25"/>
        </w:rPr>
        <w:t xml:space="preserve">shall mean the common stock of the Company, $0.01 par value per share. </w:t>
      </w:r>
    </w:p>
    <w:p>
      <w:pPr>
        <w:pStyle w:val="TextBody"/>
        <w:bidi w:val="0"/>
        <w:spacing w:lineRule="auto" w:line="288" w:before="0" w:after="120"/>
        <w:ind w:left="0" w:right="0" w:firstLine="490"/>
        <w:jc w:val="left"/>
        <w:rPr/>
      </w:pPr>
      <w:r>
        <w:rPr>
          <w:rFonts w:ascii="Times New Roman;serif" w:hAnsi="Times New Roman;serif"/>
          <w:b w:val="false"/>
          <w:color w:val="000000"/>
          <w:sz w:val="25"/>
        </w:rPr>
        <w:t>(h) “</w:t>
      </w:r>
      <w:r>
        <w:rPr>
          <w:rFonts w:ascii="Times New Roman;serif" w:hAnsi="Times New Roman;serif"/>
          <w:b w:val="false"/>
          <w:color w:val="000000"/>
          <w:sz w:val="25"/>
          <w:u w:val="single"/>
        </w:rPr>
        <w:t>Company</w:t>
      </w:r>
      <w:r>
        <w:rPr>
          <w:color w:val="000000"/>
        </w:rPr>
        <w:t xml:space="preserve">” </w:t>
      </w:r>
      <w:r>
        <w:rPr>
          <w:rFonts w:ascii="Times New Roman;serif" w:hAnsi="Times New Roman;serif"/>
          <w:b w:val="false"/>
          <w:color w:val="000000"/>
          <w:sz w:val="25"/>
        </w:rPr>
        <w:t xml:space="preserve">shall have the meaning set forth in the preamble hereto. </w:t>
      </w:r>
    </w:p>
    <w:p>
      <w:pPr>
        <w:pStyle w:val="TextBody"/>
        <w:bidi w:val="0"/>
        <w:spacing w:lineRule="auto" w:line="288" w:before="0" w:after="120"/>
        <w:ind w:left="0" w:right="0" w:firstLine="490"/>
        <w:jc w:val="left"/>
        <w:rPr/>
      </w:pPr>
      <w:r>
        <w:rPr>
          <w:rFonts w:ascii="Times New Roman;serif" w:hAnsi="Times New Roman;serif"/>
          <w:b w:val="false"/>
          <w:color w:val="000000"/>
          <w:sz w:val="25"/>
        </w:rPr>
        <w:t>(i) “</w:t>
      </w:r>
      <w:r>
        <w:rPr>
          <w:rFonts w:ascii="Times New Roman;serif" w:hAnsi="Times New Roman;serif"/>
          <w:b w:val="false"/>
          <w:color w:val="000000"/>
          <w:sz w:val="25"/>
          <w:u w:val="single"/>
        </w:rPr>
        <w:t>Compensation Committee</w:t>
      </w:r>
      <w:r>
        <w:rPr>
          <w:color w:val="000000"/>
        </w:rPr>
        <w:t xml:space="preserve">” </w:t>
      </w:r>
      <w:r>
        <w:rPr>
          <w:rFonts w:ascii="Times New Roman;serif" w:hAnsi="Times New Roman;serif"/>
          <w:b w:val="false"/>
          <w:color w:val="000000"/>
          <w:sz w:val="25"/>
        </w:rPr>
        <w:t xml:space="preserve">shall mean the Compensation Committee of the Board whose members shall be appointed by the Board from time to time. </w:t>
      </w:r>
    </w:p>
    <w:p>
      <w:pPr>
        <w:pStyle w:val="TextBody"/>
        <w:bidi w:val="0"/>
        <w:spacing w:lineRule="auto" w:line="288" w:before="0" w:after="120"/>
        <w:ind w:left="0" w:right="0" w:firstLine="490"/>
        <w:jc w:val="left"/>
        <w:rPr/>
      </w:pPr>
      <w:r>
        <w:rPr>
          <w:rFonts w:ascii="Times New Roman;serif" w:hAnsi="Times New Roman;serif"/>
          <w:b w:val="false"/>
          <w:color w:val="000000"/>
          <w:sz w:val="25"/>
        </w:rPr>
        <w:t>(j) “</w:t>
      </w:r>
      <w:r>
        <w:rPr>
          <w:rFonts w:ascii="Times New Roman;serif" w:hAnsi="Times New Roman;serif"/>
          <w:b w:val="false"/>
          <w:color w:val="000000"/>
          <w:sz w:val="25"/>
          <w:u w:val="single"/>
        </w:rPr>
        <w:t>Date of Termination</w:t>
      </w:r>
      <w:r>
        <w:rPr>
          <w:color w:val="000000"/>
        </w:rPr>
        <w:t xml:space="preserve">” </w:t>
      </w:r>
      <w:r>
        <w:rPr>
          <w:rFonts w:ascii="Times New Roman;serif" w:hAnsi="Times New Roman;serif"/>
          <w:b w:val="false"/>
          <w:color w:val="000000"/>
          <w:sz w:val="25"/>
        </w:rPr>
        <w:t xml:space="preserve">shall mean (i) if the Executive’s employment is terminated by reason of the Executive’s death, the date of the Executive’s death, and (ii) if the Executive’s employment is terminated pursuant to Sections 5(a)(ii) - (vi), the date specified in the Notice of Termination. </w:t>
      </w:r>
    </w:p>
    <w:p>
      <w:pPr>
        <w:pStyle w:val="TextBody"/>
        <w:bidi w:val="0"/>
        <w:spacing w:lineRule="auto" w:line="288" w:before="0" w:after="120"/>
        <w:ind w:left="0" w:right="0" w:firstLine="490"/>
        <w:jc w:val="left"/>
        <w:rPr/>
      </w:pPr>
      <w:r>
        <w:rPr>
          <w:rFonts w:ascii="Times New Roman;serif" w:hAnsi="Times New Roman;serif"/>
          <w:b w:val="false"/>
          <w:color w:val="000000"/>
          <w:sz w:val="25"/>
        </w:rPr>
        <w:t>(k) “</w:t>
      </w:r>
      <w:r>
        <w:rPr>
          <w:rFonts w:ascii="Times New Roman;serif" w:hAnsi="Times New Roman;serif"/>
          <w:b w:val="false"/>
          <w:color w:val="000000"/>
          <w:sz w:val="25"/>
          <w:u w:val="single"/>
        </w:rPr>
        <w:t>Disability</w:t>
      </w:r>
      <w:r>
        <w:rPr>
          <w:color w:val="000000"/>
        </w:rPr>
        <w:t xml:space="preserve">” </w:t>
      </w:r>
      <w:r>
        <w:rPr>
          <w:rFonts w:ascii="Times New Roman;serif" w:hAnsi="Times New Roman;serif"/>
          <w:b w:val="false"/>
          <w:color w:val="000000"/>
          <w:sz w:val="25"/>
        </w:rPr>
        <w:t xml:space="preserve">shall mean the Executive’s absence from employment with the Company due to: (i) the Executive’s inability to engage in any substantial gainful activity by reason of any medically determinable physical or mental impairment which can be expected to result in death or can be expected to last for a continuous period of not less than twelve months; or (ii) such medically determinable physical or mental impairment, which can be expected to result in death or can be expected to last for a continuous period of not less than twelve months, and for which the Executive is receiving income replacement benefits for a period of not less than three months under an accident and health plan covering the Company’s employees. </w:t>
      </w:r>
    </w:p>
    <w:p>
      <w:pPr>
        <w:pStyle w:val="TextBody"/>
        <w:bidi w:val="0"/>
        <w:spacing w:lineRule="auto" w:line="288" w:before="0" w:after="120"/>
        <w:ind w:left="0" w:right="0" w:firstLine="490"/>
        <w:jc w:val="left"/>
        <w:rPr/>
      </w:pPr>
      <w:r>
        <w:rPr>
          <w:rFonts w:ascii="Times New Roman;serif" w:hAnsi="Times New Roman;serif"/>
          <w:b w:val="false"/>
          <w:color w:val="000000"/>
          <w:sz w:val="25"/>
        </w:rPr>
        <w:t>(l) “</w:t>
      </w:r>
      <w:r>
        <w:rPr>
          <w:rFonts w:ascii="Times New Roman;serif" w:hAnsi="Times New Roman;serif"/>
          <w:b w:val="false"/>
          <w:color w:val="000000"/>
          <w:sz w:val="25"/>
          <w:u w:val="single"/>
        </w:rPr>
        <w:t>Effective Date</w:t>
      </w:r>
      <w:r>
        <w:rPr>
          <w:color w:val="000000"/>
        </w:rPr>
        <w:t xml:space="preserve">” </w:t>
      </w:r>
      <w:r>
        <w:rPr>
          <w:rFonts w:ascii="Times New Roman;serif" w:hAnsi="Times New Roman;serif"/>
          <w:b w:val="false"/>
          <w:color w:val="000000"/>
          <w:sz w:val="25"/>
        </w:rPr>
        <w:t xml:space="preserve">shall mean the date of this Agreement. </w:t>
      </w:r>
    </w:p>
    <w:p>
      <w:pPr>
        <w:pStyle w:val="TextBody"/>
        <w:bidi w:val="0"/>
        <w:spacing w:lineRule="auto" w:line="288" w:before="0" w:after="120"/>
        <w:ind w:left="0" w:right="0" w:firstLine="490"/>
        <w:jc w:val="left"/>
        <w:rPr/>
      </w:pPr>
      <w:r>
        <w:rPr>
          <w:rFonts w:ascii="Times New Roman;serif" w:hAnsi="Times New Roman;serif"/>
          <w:b w:val="false"/>
          <w:color w:val="000000"/>
          <w:sz w:val="25"/>
        </w:rPr>
        <w:t>(m) “</w:t>
      </w:r>
      <w:r>
        <w:rPr>
          <w:rFonts w:ascii="Times New Roman;serif" w:hAnsi="Times New Roman;serif"/>
          <w:b w:val="false"/>
          <w:color w:val="000000"/>
          <w:sz w:val="25"/>
          <w:u w:val="single"/>
        </w:rPr>
        <w:t>Equity Compensation Agreements</w:t>
      </w:r>
      <w:r>
        <w:rPr>
          <w:color w:val="000000"/>
        </w:rPr>
        <w:t xml:space="preserve">” </w:t>
      </w:r>
      <w:r>
        <w:rPr>
          <w:rFonts w:ascii="Times New Roman;serif" w:hAnsi="Times New Roman;serif"/>
          <w:b w:val="false"/>
          <w:color w:val="000000"/>
          <w:sz w:val="25"/>
        </w:rPr>
        <w:t>shall mean any written agreements between the Company and the Executive pursuant to which the Executive holds or is granted options to purchase Common Stock, including, without limitation, agreements evidencing options granted under any option plan adopted or maintained by the Company for employees generally, and any management deferred compensation or similar plans of the Company.</w:t>
      </w:r>
    </w:p>
    <w:p>
      <w:pPr>
        <w:pStyle w:val="TextBody"/>
        <w:bidi w:val="0"/>
        <w:spacing w:lineRule="auto" w:line="288" w:before="0" w:after="120"/>
        <w:ind w:left="0" w:right="0" w:firstLine="490"/>
        <w:jc w:val="left"/>
        <w:rPr/>
      </w:pPr>
      <w:r>
        <w:rPr>
          <w:rFonts w:ascii="Times New Roman;serif" w:hAnsi="Times New Roman;serif"/>
          <w:b w:val="false"/>
          <w:color w:val="000000"/>
          <w:sz w:val="25"/>
        </w:rPr>
        <w:t>(n) “</w:t>
      </w:r>
      <w:r>
        <w:rPr>
          <w:rFonts w:ascii="Times New Roman;serif" w:hAnsi="Times New Roman;serif"/>
          <w:b w:val="false"/>
          <w:color w:val="000000"/>
          <w:sz w:val="25"/>
          <w:u w:val="single"/>
        </w:rPr>
        <w:t>Exchange Act</w:t>
      </w:r>
      <w:r>
        <w:rPr>
          <w:color w:val="000000"/>
        </w:rPr>
        <w:t xml:space="preserve">” </w:t>
      </w:r>
      <w:r>
        <w:rPr>
          <w:rFonts w:ascii="Times New Roman;serif" w:hAnsi="Times New Roman;serif"/>
          <w:b w:val="false"/>
          <w:color w:val="000000"/>
          <w:sz w:val="25"/>
        </w:rPr>
        <w:t xml:space="preserve">shall mean the Securities Exchange Act of 1934, as amended. </w:t>
      </w:r>
    </w:p>
    <w:p>
      <w:pPr>
        <w:pStyle w:val="TextBody"/>
        <w:bidi w:val="0"/>
        <w:spacing w:lineRule="auto" w:line="288" w:before="0" w:after="120"/>
        <w:ind w:left="0" w:right="0" w:firstLine="490"/>
        <w:jc w:val="left"/>
        <w:rPr/>
      </w:pPr>
      <w:r>
        <w:rPr>
          <w:rFonts w:ascii="Times New Roman;serif" w:hAnsi="Times New Roman;serif"/>
          <w:b w:val="false"/>
          <w:color w:val="000000"/>
          <w:sz w:val="25"/>
        </w:rPr>
        <w:t>(o) “</w:t>
      </w:r>
      <w:r>
        <w:rPr>
          <w:rFonts w:ascii="Times New Roman;serif" w:hAnsi="Times New Roman;serif"/>
          <w:b w:val="false"/>
          <w:color w:val="000000"/>
          <w:sz w:val="25"/>
          <w:u w:val="single"/>
        </w:rPr>
        <w:t>Executive</w:t>
      </w:r>
      <w:r>
        <w:rPr>
          <w:color w:val="000000"/>
        </w:rPr>
        <w:t xml:space="preserve">” </w:t>
      </w:r>
      <w:r>
        <w:rPr>
          <w:rFonts w:ascii="Times New Roman;serif" w:hAnsi="Times New Roman;serif"/>
          <w:b w:val="false"/>
          <w:color w:val="000000"/>
          <w:sz w:val="25"/>
        </w:rPr>
        <w:t xml:space="preserve">shall have the meaning set forth in the preamble hereto. </w:t>
      </w:r>
    </w:p>
    <w:p>
      <w:pPr>
        <w:pStyle w:val="TextBody"/>
        <w:bidi w:val="0"/>
        <w:spacing w:lineRule="auto" w:line="288" w:before="0" w:after="120"/>
        <w:ind w:left="0" w:right="0" w:firstLine="490"/>
        <w:jc w:val="left"/>
        <w:rPr/>
      </w:pPr>
      <w:r>
        <w:rPr>
          <w:rFonts w:ascii="Times New Roman;serif" w:hAnsi="Times New Roman;serif"/>
          <w:b w:val="false"/>
          <w:color w:val="000000"/>
          <w:sz w:val="25"/>
        </w:rPr>
        <w:t>(p) “</w:t>
      </w:r>
      <w:r>
        <w:rPr>
          <w:rFonts w:ascii="Times New Roman;serif" w:hAnsi="Times New Roman;serif"/>
          <w:b w:val="false"/>
          <w:color w:val="000000"/>
          <w:sz w:val="25"/>
          <w:u w:val="single"/>
        </w:rPr>
        <w:t>Good Reason</w:t>
      </w:r>
      <w:r>
        <w:rPr>
          <w:color w:val="000000"/>
        </w:rPr>
        <w:t xml:space="preserve">” </w:t>
      </w:r>
      <w:r>
        <w:rPr>
          <w:rFonts w:ascii="Times New Roman;serif" w:hAnsi="Times New Roman;serif"/>
          <w:b w:val="false"/>
          <w:color w:val="000000"/>
          <w:sz w:val="25"/>
        </w:rPr>
        <w:t xml:space="preserve">shall mean the occurrence of any of the following: (i) a material diminution in the Executive’s title, duties or responsibilities, without the Executive’s prior written consent, or (ii) a reduction of the Executive’s aggregate cash compensation opportunity (including bonus opportunities), benefits or perquisites, without the Executive’s prior written consent, or (iii) any material breach of this Agreement by the Company. </w:t>
      </w:r>
    </w:p>
    <w:p>
      <w:pPr>
        <w:pStyle w:val="TextBody"/>
        <w:bidi w:val="0"/>
        <w:spacing w:lineRule="auto" w:line="288" w:before="0" w:after="120"/>
        <w:ind w:left="0" w:right="0" w:firstLine="490"/>
        <w:jc w:val="left"/>
        <w:rPr/>
      </w:pPr>
      <w:r>
        <w:rPr>
          <w:rFonts w:ascii="Times New Roman;serif" w:hAnsi="Times New Roman;serif"/>
          <w:b w:val="false"/>
          <w:color w:val="000000"/>
          <w:sz w:val="25"/>
        </w:rPr>
        <w:t>(q) “</w:t>
      </w:r>
      <w:r>
        <w:rPr>
          <w:rFonts w:ascii="Times New Roman;serif" w:hAnsi="Times New Roman;serif"/>
          <w:b w:val="false"/>
          <w:color w:val="000000"/>
          <w:sz w:val="25"/>
          <w:u w:val="single"/>
        </w:rPr>
        <w:t>Monthly COBRA Coverage Continuation Rate</w:t>
      </w:r>
      <w:r>
        <w:rPr>
          <w:color w:val="000000"/>
        </w:rPr>
        <w:t xml:space="preserve">” </w:t>
      </w:r>
      <w:r>
        <w:rPr>
          <w:rFonts w:ascii="Times New Roman;serif" w:hAnsi="Times New Roman;serif"/>
          <w:b w:val="false"/>
          <w:color w:val="000000"/>
          <w:sz w:val="25"/>
        </w:rPr>
        <w:t>shall have the meaning set forth in Section 6(a).</w:t>
      </w:r>
    </w:p>
    <w:p>
      <w:pPr>
        <w:pStyle w:val="TextBody"/>
        <w:bidi w:val="0"/>
        <w:spacing w:lineRule="auto" w:line="288" w:before="0" w:after="120"/>
        <w:ind w:left="0" w:right="0" w:firstLine="490"/>
        <w:jc w:val="left"/>
        <w:rPr/>
      </w:pPr>
      <w:r>
        <w:rPr>
          <w:rFonts w:ascii="Times New Roman;serif" w:hAnsi="Times New Roman;serif"/>
          <w:b w:val="false"/>
          <w:color w:val="000000"/>
          <w:sz w:val="25"/>
        </w:rPr>
        <w:t>(r) “</w:t>
      </w:r>
      <w:r>
        <w:rPr>
          <w:rFonts w:ascii="Times New Roman;serif" w:hAnsi="Times New Roman;serif"/>
          <w:b w:val="false"/>
          <w:color w:val="000000"/>
          <w:sz w:val="25"/>
          <w:u w:val="single"/>
        </w:rPr>
        <w:t>Notice of Termination</w:t>
      </w:r>
      <w:r>
        <w:rPr>
          <w:color w:val="000000"/>
        </w:rPr>
        <w:t xml:space="preserve">” </w:t>
      </w:r>
      <w:r>
        <w:rPr>
          <w:rFonts w:ascii="Times New Roman;serif" w:hAnsi="Times New Roman;serif"/>
          <w:b w:val="false"/>
          <w:color w:val="000000"/>
          <w:sz w:val="25"/>
        </w:rPr>
        <w:t xml:space="preserve">shall have the meaning set forth in Section 5(b). </w:t>
      </w:r>
    </w:p>
    <w:p>
      <w:pPr>
        <w:pStyle w:val="TextBody"/>
        <w:bidi w:val="0"/>
        <w:spacing w:lineRule="auto" w:line="288" w:before="0" w:after="120"/>
        <w:ind w:left="0" w:right="0" w:firstLine="490"/>
        <w:jc w:val="left"/>
        <w:rPr/>
      </w:pPr>
      <w:r>
        <w:rPr>
          <w:rFonts w:ascii="Times New Roman;serif" w:hAnsi="Times New Roman;serif"/>
          <w:b w:val="false"/>
          <w:color w:val="000000"/>
          <w:sz w:val="25"/>
        </w:rPr>
        <w:t>(s) “</w:t>
      </w:r>
      <w:r>
        <w:rPr>
          <w:rFonts w:ascii="Times New Roman;serif" w:hAnsi="Times New Roman;serif"/>
          <w:b w:val="false"/>
          <w:color w:val="000000"/>
          <w:sz w:val="25"/>
          <w:u w:val="single"/>
        </w:rPr>
        <w:t>Payment Period</w:t>
      </w:r>
      <w:r>
        <w:rPr>
          <w:color w:val="000000"/>
        </w:rPr>
        <w:t xml:space="preserve">” </w:t>
      </w:r>
      <w:r>
        <w:rPr>
          <w:rFonts w:ascii="Times New Roman;serif" w:hAnsi="Times New Roman;serif"/>
          <w:b w:val="false"/>
          <w:color w:val="000000"/>
          <w:sz w:val="25"/>
        </w:rPr>
        <w:t xml:space="preserve">shall have the meaning set forth in Section 6(b). </w:t>
      </w:r>
    </w:p>
    <w:p>
      <w:pPr>
        <w:pStyle w:val="TextBody"/>
        <w:bidi w:val="0"/>
        <w:spacing w:lineRule="auto" w:line="288" w:before="0" w:after="120"/>
        <w:ind w:left="0" w:right="0" w:firstLine="490"/>
        <w:jc w:val="left"/>
        <w:rPr/>
      </w:pPr>
      <w:r>
        <w:rPr>
          <w:rFonts w:ascii="Times New Roman;serif" w:hAnsi="Times New Roman;serif"/>
          <w:b w:val="false"/>
          <w:color w:val="000000"/>
          <w:sz w:val="25"/>
        </w:rPr>
        <w:t>(t) “</w:t>
      </w:r>
      <w:r>
        <w:rPr>
          <w:rFonts w:ascii="Times New Roman;serif" w:hAnsi="Times New Roman;serif"/>
          <w:b w:val="false"/>
          <w:color w:val="000000"/>
          <w:sz w:val="25"/>
          <w:u w:val="single"/>
        </w:rPr>
        <w:t>Specified Employee</w:t>
      </w:r>
      <w:r>
        <w:rPr>
          <w:color w:val="000000"/>
        </w:rPr>
        <w:t xml:space="preserve">” </w:t>
      </w:r>
      <w:r>
        <w:rPr>
          <w:rFonts w:ascii="Times New Roman;serif" w:hAnsi="Times New Roman;serif"/>
          <w:b w:val="false"/>
          <w:color w:val="000000"/>
          <w:sz w:val="25"/>
        </w:rPr>
        <w:t>shall have the meaning set forth in Code Section 409A .</w:t>
      </w:r>
    </w:p>
    <w:p>
      <w:pPr>
        <w:pStyle w:val="TextBody"/>
        <w:bidi w:val="0"/>
        <w:spacing w:lineRule="auto" w:line="288" w:before="0" w:after="120"/>
        <w:ind w:left="0" w:right="0" w:firstLine="490"/>
        <w:jc w:val="left"/>
        <w:rPr/>
      </w:pPr>
      <w:r>
        <w:rPr>
          <w:rFonts w:ascii="Times New Roman;serif" w:hAnsi="Times New Roman;serif"/>
          <w:b w:val="false"/>
          <w:color w:val="000000"/>
          <w:sz w:val="25"/>
        </w:rPr>
        <w:t>(u) “</w:t>
      </w:r>
      <w:r>
        <w:rPr>
          <w:rFonts w:ascii="Times New Roman;serif" w:hAnsi="Times New Roman;serif"/>
          <w:b w:val="false"/>
          <w:color w:val="000000"/>
          <w:sz w:val="25"/>
          <w:u w:val="single"/>
        </w:rPr>
        <w:t>Term</w:t>
      </w:r>
      <w:r>
        <w:rPr>
          <w:color w:val="000000"/>
        </w:rPr>
        <w:t xml:space="preserve">” </w:t>
      </w:r>
      <w:r>
        <w:rPr>
          <w:rFonts w:ascii="Times New Roman;serif" w:hAnsi="Times New Roman;serif"/>
          <w:b w:val="false"/>
          <w:color w:val="000000"/>
          <w:sz w:val="25"/>
        </w:rPr>
        <w:t>shall have the meaning set forth in Section 2.</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70890"/>
                <wp:effectExtent l="0" t="0" r="0" b="0"/>
                <wp:wrapNone/>
                <wp:docPr id="97" name="Frame9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2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2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5"/>
        </w:rPr>
        <w:t xml:space="preserve">2. </w:t>
      </w:r>
      <w:r>
        <w:rPr>
          <w:rFonts w:ascii="Times New Roman;serif" w:hAnsi="Times New Roman;serif"/>
          <w:b w:val="false"/>
          <w:color w:val="000000"/>
          <w:sz w:val="25"/>
          <w:u w:val="single"/>
        </w:rPr>
        <w:t>Employment</w:t>
      </w:r>
      <w:r>
        <w:rPr>
          <w:rFonts w:ascii="Times New Roman;serif" w:hAnsi="Times New Roman;serif"/>
          <w:b w:val="false"/>
          <w:color w:val="000000"/>
          <w:sz w:val="25"/>
        </w:rPr>
        <w:t>. The Company shall continue to employ the Executive, for the period set forth in this Section 2, in the position(s) set forth in Section 3 and upon the other terms and conditions herein provided. The term of employment under this Agreement (the “Term”) shall be for the period continuing on the Effective Date and ending on September 30, 2030, unless earlier terminated as provided in Section 5.</w:t>
      </w:r>
    </w:p>
    <w:p>
      <w:pPr>
        <w:pStyle w:val="TextBody"/>
        <w:bidi w:val="0"/>
        <w:spacing w:lineRule="auto" w:line="288" w:before="0" w:after="120"/>
        <w:jc w:val="left"/>
        <w:rPr/>
      </w:pPr>
      <w:r>
        <w:rPr>
          <w:rFonts w:ascii="Times New Roman;serif" w:hAnsi="Times New Roman;serif"/>
          <w:b w:val="false"/>
          <w:color w:val="000000"/>
          <w:sz w:val="25"/>
        </w:rPr>
        <w:t xml:space="preserve">3. </w:t>
      </w:r>
      <w:r>
        <w:rPr>
          <w:rFonts w:ascii="Times New Roman;serif" w:hAnsi="Times New Roman;serif"/>
          <w:b w:val="false"/>
          <w:color w:val="000000"/>
          <w:sz w:val="25"/>
          <w:u w:val="single"/>
        </w:rPr>
        <w:t>Position and Duties</w:t>
      </w:r>
      <w:r>
        <w:rPr>
          <w:rFonts w:ascii="Times New Roman;serif" w:hAnsi="Times New Roman;serif"/>
          <w:b w:val="false"/>
          <w:color w:val="000000"/>
          <w:sz w:val="25"/>
        </w:rPr>
        <w:t xml:space="preserve">. During the Term, the Executive shall serve as co-Chief Operating Officer of each of the Company and its subsidiary, TransDigm, Inc. (“TransDigm”), with such customary responsibilities, duties and authority as may from time to time be assigned to the Executive by the Chief Executive Officer. During the Term, the Executive shall devote substantially all of the Executive’s working time and efforts to the business and affairs of the Company and TransDigm; provided, that it shall not be considered a violation of the foregoing for the Executive to (a) with the prior consent of the Board (which consent shall not unreasonably be withheld), serve on corporate, industry, civic or charitable boards or committees, and (b) manage the Executive’s personal investments, so long as none of such activities significantly interferes with the Executive’s duties hereunder. </w:t>
      </w:r>
    </w:p>
    <w:p>
      <w:pPr>
        <w:pStyle w:val="TextBody"/>
        <w:bidi w:val="0"/>
        <w:spacing w:lineRule="auto" w:line="288" w:before="0" w:after="120"/>
        <w:jc w:val="left"/>
        <w:rPr/>
      </w:pPr>
      <w:r>
        <w:rPr>
          <w:rFonts w:ascii="Times New Roman;serif" w:hAnsi="Times New Roman;serif"/>
          <w:b w:val="false"/>
          <w:color w:val="000000"/>
          <w:sz w:val="25"/>
        </w:rPr>
        <w:t xml:space="preserve">4. </w:t>
      </w:r>
      <w:r>
        <w:rPr>
          <w:rFonts w:ascii="Times New Roman;serif" w:hAnsi="Times New Roman;serif"/>
          <w:b w:val="false"/>
          <w:color w:val="000000"/>
          <w:sz w:val="25"/>
          <w:u w:val="single"/>
        </w:rPr>
        <w:t>Compensation and Related Matters</w:t>
      </w:r>
      <w:r>
        <w:rPr>
          <w:rFonts w:ascii="Times New Roman;serif" w:hAnsi="Times New Roman;serif"/>
          <w:b w:val="false"/>
          <w:color w:val="000000"/>
          <w:sz w:val="25"/>
        </w:rPr>
        <w:t xml:space="preserve">.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(a) </w:t>
      </w:r>
      <w:r>
        <w:rPr>
          <w:rFonts w:ascii="Times New Roman;serif" w:hAnsi="Times New Roman;serif"/>
          <w:b w:val="false"/>
          <w:color w:val="000000"/>
          <w:sz w:val="25"/>
          <w:u w:val="single"/>
        </w:rPr>
        <w:t>Annual Base Salary</w:t>
      </w:r>
      <w:r>
        <w:rPr>
          <w:rFonts w:ascii="Times New Roman;serif" w:hAnsi="Times New Roman;serif"/>
          <w:b w:val="false"/>
          <w:color w:val="000000"/>
          <w:sz w:val="25"/>
        </w:rPr>
        <w:t>. From and after August 1, 2025</w:t>
      </w:r>
      <w:r>
        <w:rPr>
          <w:rFonts w:ascii="Times New Roman;serif" w:hAnsi="Times New Roman;serif"/>
          <w:b w:val="false"/>
          <w:color w:val="000000"/>
          <w:sz w:val="25"/>
          <w:u w:val="single"/>
        </w:rPr>
        <w:t>,</w:t>
      </w:r>
      <w:r>
        <w:rPr>
          <w:color w:val="000000"/>
        </w:rPr>
        <w:t xml:space="preserve"> </w:t>
      </w:r>
      <w:r>
        <w:rPr>
          <w:rFonts w:ascii="Times New Roman;serif" w:hAnsi="Times New Roman;serif"/>
          <w:b w:val="false"/>
          <w:color w:val="000000"/>
          <w:sz w:val="25"/>
        </w:rPr>
        <w:t>the Executive shall receive a base salary at a rate of $775,000 per annum, payable in accordance with the Company’s normal payroll practices, which shall be reviewed by the Compensation Committee annually and may be increased, but not decreased, upon such review (the “Annual Base Salary”).</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(b) </w:t>
      </w:r>
      <w:r>
        <w:rPr>
          <w:rFonts w:ascii="Times New Roman;serif" w:hAnsi="Times New Roman;serif"/>
          <w:b w:val="false"/>
          <w:color w:val="000000"/>
          <w:sz w:val="25"/>
          <w:u w:val="single"/>
        </w:rPr>
        <w:t>Bonus</w:t>
      </w:r>
      <w:r>
        <w:rPr>
          <w:rFonts w:ascii="Times New Roman;serif" w:hAnsi="Times New Roman;serif"/>
          <w:b w:val="false"/>
          <w:color w:val="000000"/>
          <w:sz w:val="25"/>
        </w:rPr>
        <w:t>. For each fiscal year during the Term, the Executive shall be eligible to participate in the Company’s annual cash bonus plan in accordance with terms and provisions which shall be consistent with the Company’s executive bonus policy in effect as of the date hereof. The Executive’s target bonus for fiscal year 2025 and thereafter (from August 5, 2025) will be 100% of the Executive’s Annual Base Salary, may be pro-rated based on time in position, and may be increased, but not decreased, from time to time. Such target bonus will be pro-rated for fiscal 2025 based on a target percentage of Annual Base Salary of 65% in effect for fiscal 2025 prior to August 5, 2025.</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(c) </w:t>
      </w:r>
      <w:r>
        <w:rPr>
          <w:rFonts w:ascii="Times New Roman;serif" w:hAnsi="Times New Roman;serif"/>
          <w:b w:val="false"/>
          <w:color w:val="000000"/>
          <w:sz w:val="25"/>
          <w:u w:val="single"/>
        </w:rPr>
        <w:t>Non-Qualified Deferred Compensation</w:t>
      </w:r>
      <w:r>
        <w:rPr>
          <w:rFonts w:ascii="Times New Roman;serif" w:hAnsi="Times New Roman;serif"/>
          <w:b w:val="false"/>
          <w:color w:val="000000"/>
          <w:sz w:val="25"/>
        </w:rPr>
        <w:t xml:space="preserve">. During the Term, the Executive shall be eligible to participate in any non-qualified deferred compensation plan or program (if any) offered by the Company to its executives.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(d) </w:t>
      </w:r>
      <w:r>
        <w:rPr>
          <w:rFonts w:ascii="Times New Roman;serif" w:hAnsi="Times New Roman;serif"/>
          <w:b w:val="false"/>
          <w:color w:val="000000"/>
          <w:sz w:val="25"/>
          <w:u w:val="single"/>
        </w:rPr>
        <w:t>Long Term Incentive Compensation</w:t>
      </w:r>
      <w:r>
        <w:rPr>
          <w:rFonts w:ascii="Times New Roman;serif" w:hAnsi="Times New Roman;serif"/>
          <w:b w:val="false"/>
          <w:color w:val="000000"/>
          <w:sz w:val="25"/>
        </w:rPr>
        <w:t xml:space="preserve">. During the Term, the Executive shall be entitled to participate in the Option Plan or any successor plan thereto.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(e) </w:t>
      </w:r>
      <w:r>
        <w:rPr>
          <w:rFonts w:ascii="Times New Roman;serif" w:hAnsi="Times New Roman;serif"/>
          <w:b w:val="false"/>
          <w:color w:val="000000"/>
          <w:sz w:val="25"/>
          <w:u w:val="single"/>
        </w:rPr>
        <w:t>Benefits</w:t>
      </w:r>
      <w:r>
        <w:rPr>
          <w:rFonts w:ascii="Times New Roman;serif" w:hAnsi="Times New Roman;serif"/>
          <w:b w:val="false"/>
          <w:color w:val="000000"/>
          <w:sz w:val="25"/>
        </w:rPr>
        <w:t xml:space="preserve">. During the Term, the Executive shall be entitled to participate in the other employee benefit plans, programs and arrangements of the Company now (or, to the extent determined by the Board or Compensation Committee, hereafter) in effect which are applicable to the senior officers of the Company generally, subject to and on a basis consistent with the terms, conditions and overall administration thereof (including the right of the Company to amend, modify or terminate such plans, programs and arrangements).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70890"/>
                <wp:effectExtent l="0" t="0" r="0" b="0"/>
                <wp:wrapNone/>
                <wp:docPr id="98" name="Frame97"/>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3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3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(f) </w:t>
      </w:r>
      <w:r>
        <w:rPr>
          <w:rFonts w:ascii="Times New Roman;serif" w:hAnsi="Times New Roman;serif"/>
          <w:b w:val="false"/>
          <w:color w:val="000000"/>
          <w:sz w:val="25"/>
          <w:u w:val="single"/>
        </w:rPr>
        <w:t>Expenses</w:t>
      </w:r>
      <w:r>
        <w:rPr>
          <w:rFonts w:ascii="Times New Roman;serif" w:hAnsi="Times New Roman;serif"/>
          <w:b w:val="false"/>
          <w:color w:val="000000"/>
          <w:sz w:val="25"/>
        </w:rPr>
        <w:t xml:space="preserve">. Pursuant to the Company’s customary policies in force at the time of payment, the Executive shall be reimbursed for all expenses properly incurred by the Executive on the Company’s behalf in the performance of the Executive’s duties hereunder.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(g) </w:t>
      </w:r>
      <w:r>
        <w:rPr>
          <w:rFonts w:ascii="Times New Roman;serif" w:hAnsi="Times New Roman;serif"/>
          <w:b w:val="false"/>
          <w:color w:val="000000"/>
          <w:sz w:val="25"/>
          <w:u w:val="single"/>
        </w:rPr>
        <w:t>Vacation</w:t>
      </w:r>
      <w:r>
        <w:rPr>
          <w:rFonts w:ascii="Times New Roman;serif" w:hAnsi="Times New Roman;serif"/>
          <w:b w:val="false"/>
          <w:color w:val="000000"/>
          <w:sz w:val="25"/>
        </w:rPr>
        <w:t xml:space="preserve">. The Executive shall be entitled to an amount of annual vacation days, and to compensation in respect of earned but unused vacation days in accordance with the Company’s vacation policy as in effect as of the Effective Date. The Executive shall also be entitled to paid holidays in accordance with the Company’s practices with respect to same as in effect as of the Effective Date. </w:t>
      </w:r>
    </w:p>
    <w:p>
      <w:pPr>
        <w:pStyle w:val="TextBody"/>
        <w:bidi w:val="0"/>
        <w:spacing w:lineRule="auto" w:line="288" w:before="0" w:after="120"/>
        <w:jc w:val="left"/>
        <w:rPr/>
      </w:pPr>
      <w:r>
        <w:rPr>
          <w:rFonts w:ascii="Times New Roman;serif" w:hAnsi="Times New Roman;serif"/>
          <w:b w:val="false"/>
          <w:color w:val="000000"/>
          <w:sz w:val="25"/>
        </w:rPr>
        <w:t xml:space="preserve">5. </w:t>
      </w:r>
      <w:r>
        <w:rPr>
          <w:rFonts w:ascii="Times New Roman;serif" w:hAnsi="Times New Roman;serif"/>
          <w:b w:val="false"/>
          <w:color w:val="000000"/>
          <w:sz w:val="25"/>
          <w:u w:val="single"/>
        </w:rPr>
        <w:t>Termination</w:t>
      </w:r>
      <w:r>
        <w:rPr>
          <w:rFonts w:ascii="Times New Roman;serif" w:hAnsi="Times New Roman;serif"/>
          <w:b w:val="false"/>
          <w:color w:val="000000"/>
          <w:sz w:val="25"/>
        </w:rPr>
        <w:t xml:space="preserve">.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(a) The Executive’s employment hereunder may be terminated by the Company or the Executive, as applicable, without any breach of this Agreement only under the following circumstances and in accordance with subsection (b):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(i) </w:t>
      </w:r>
      <w:r>
        <w:rPr>
          <w:rFonts w:ascii="Times New Roman;serif" w:hAnsi="Times New Roman;serif"/>
          <w:b w:val="false"/>
          <w:color w:val="000000"/>
          <w:sz w:val="25"/>
          <w:u w:val="single"/>
        </w:rPr>
        <w:t>Death</w:t>
      </w:r>
      <w:r>
        <w:rPr>
          <w:rFonts w:ascii="Times New Roman;serif" w:hAnsi="Times New Roman;serif"/>
          <w:b w:val="false"/>
          <w:color w:val="000000"/>
          <w:sz w:val="25"/>
        </w:rPr>
        <w:t xml:space="preserve">. The Executive’s employment hereunder shall terminate upon the Executive’s death.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(ii) </w:t>
      </w:r>
      <w:r>
        <w:rPr>
          <w:rFonts w:ascii="Times New Roman;serif" w:hAnsi="Times New Roman;serif"/>
          <w:b w:val="false"/>
          <w:color w:val="000000"/>
          <w:sz w:val="25"/>
          <w:u w:val="single"/>
        </w:rPr>
        <w:t>Disability</w:t>
      </w:r>
      <w:r>
        <w:rPr>
          <w:rFonts w:ascii="Times New Roman;serif" w:hAnsi="Times New Roman;serif"/>
          <w:b w:val="false"/>
          <w:color w:val="000000"/>
          <w:sz w:val="25"/>
        </w:rPr>
        <w:t>. If the Company determines in good faith that the Executive has incurred a Disability, the Company may give the Executive written notice of its intention to terminate the Executive’s employment. In such event, the Executive’s employment with the Company shall terminate effective on the 30th day after receipt of such notice by the Executive, provided that within such 30-day period the Executive shall not have returned to full-time performance of the Executive’s duties. The Executive shall continue to receive the Executive’s Annual Base Salary until the 90th day following the date of the Notice of Termination.</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(iii) </w:t>
      </w:r>
      <w:r>
        <w:rPr>
          <w:rFonts w:ascii="Times New Roman;serif" w:hAnsi="Times New Roman;serif"/>
          <w:b w:val="false"/>
          <w:color w:val="000000"/>
          <w:sz w:val="25"/>
          <w:u w:val="single"/>
        </w:rPr>
        <w:t>Termination for Cause</w:t>
      </w:r>
      <w:r>
        <w:rPr>
          <w:rFonts w:ascii="Times New Roman;serif" w:hAnsi="Times New Roman;serif"/>
          <w:b w:val="false"/>
          <w:color w:val="000000"/>
          <w:sz w:val="25"/>
        </w:rPr>
        <w:t xml:space="preserve">. The Company may terminate the Executive’s employment hereunder for Cause.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(iv) </w:t>
      </w:r>
      <w:r>
        <w:rPr>
          <w:rFonts w:ascii="Times New Roman;serif" w:hAnsi="Times New Roman;serif"/>
          <w:b w:val="false"/>
          <w:color w:val="000000"/>
          <w:sz w:val="25"/>
          <w:u w:val="single"/>
        </w:rPr>
        <w:t>Resignation for Good Reason</w:t>
      </w:r>
      <w:r>
        <w:rPr>
          <w:rFonts w:ascii="Times New Roman;serif" w:hAnsi="Times New Roman;serif"/>
          <w:b w:val="false"/>
          <w:color w:val="000000"/>
          <w:sz w:val="25"/>
        </w:rPr>
        <w:t xml:space="preserve">. The Executive may terminate the Executive’s employment hereunder for Good Reason.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(v) </w:t>
      </w:r>
      <w:r>
        <w:rPr>
          <w:rFonts w:ascii="Times New Roman;serif" w:hAnsi="Times New Roman;serif"/>
          <w:b w:val="false"/>
          <w:color w:val="000000"/>
          <w:sz w:val="25"/>
          <w:u w:val="single"/>
        </w:rPr>
        <w:t>Termination without Cause</w:t>
      </w:r>
      <w:r>
        <w:rPr>
          <w:rFonts w:ascii="Times New Roman;serif" w:hAnsi="Times New Roman;serif"/>
          <w:b w:val="false"/>
          <w:color w:val="000000"/>
          <w:sz w:val="25"/>
        </w:rPr>
        <w:t xml:space="preserve">. The Company may terminate the Executive’s employment hereunder without Cause.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(vi) </w:t>
      </w:r>
      <w:r>
        <w:rPr>
          <w:rFonts w:ascii="Times New Roman;serif" w:hAnsi="Times New Roman;serif"/>
          <w:b w:val="false"/>
          <w:color w:val="000000"/>
          <w:sz w:val="25"/>
          <w:u w:val="single"/>
        </w:rPr>
        <w:t>Resignation without Good Reason</w:t>
      </w:r>
      <w:r>
        <w:rPr>
          <w:rFonts w:ascii="Times New Roman;serif" w:hAnsi="Times New Roman;serif"/>
          <w:b w:val="false"/>
          <w:color w:val="000000"/>
          <w:sz w:val="25"/>
        </w:rPr>
        <w:t xml:space="preserve">. The Executive may resign the Executive’s employment hereunder without Good Reason.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(b) </w:t>
      </w:r>
      <w:r>
        <w:rPr>
          <w:rFonts w:ascii="Times New Roman;serif" w:hAnsi="Times New Roman;serif"/>
          <w:b w:val="false"/>
          <w:color w:val="000000"/>
          <w:sz w:val="25"/>
          <w:u w:val="single"/>
        </w:rPr>
        <w:t>Notice of Termination</w:t>
      </w:r>
      <w:r>
        <w:rPr>
          <w:rFonts w:ascii="Times New Roman;serif" w:hAnsi="Times New Roman;serif"/>
          <w:b w:val="false"/>
          <w:color w:val="000000"/>
          <w:sz w:val="25"/>
        </w:rPr>
        <w:t xml:space="preserve">. Any termination of the Executive’s employment by the Company or by the Executive under this Section 5 (other than termination pursuant to subsection (a)(i)) shall be communicated by a written notice from the Chief Executive Officer of the Company or the Executive to the other indicating the specific termination provision in this Agreement relied upon (and, in the case of the Executive’s resignation for Good Reason, setting forth in reasonable detail the facts and circumstances claimed to provide a basis for termination of the Executive’s employment under Section 5(a)(iv), and specifying a Date of Termination which, in the case of the Executive’s resignation for Good Reason or the Executive’s resignation without Good Reason pursuant to Section 5(a)(iv) 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70890"/>
                <wp:effectExtent l="0" t="0" r="0" b="0"/>
                <wp:wrapNone/>
                <wp:docPr id="99" name="Frame98"/>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4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4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5(a)(vi), respectively, shall be at least 90 days following the date of such notice (a “Notice of Termination”). In the event of the Executive’s resignation for Good Reason pursuant to Section 5(a)(iv), the Company shall have the right, if the basis for such Good Reason is curable, to cure the same within 30 days following the receipt of the Notice of Termination, and Good Reason shall not be deemed to exist if the Company cures the event giving rise to Good Reason within such 30-day period. The Executive shall continue to receive the Executive’s Annual Base Salary, annual bonus and all other compensation and perquisites referenced in Section 4 through the Date of Termination. </w:t>
      </w:r>
    </w:p>
    <w:p>
      <w:pPr>
        <w:pStyle w:val="TextBody"/>
        <w:bidi w:val="0"/>
        <w:spacing w:lineRule="auto" w:line="288" w:before="0" w:after="120"/>
        <w:jc w:val="left"/>
        <w:rPr/>
      </w:pPr>
      <w:r>
        <w:rPr>
          <w:rFonts w:ascii="Times New Roman;serif" w:hAnsi="Times New Roman;serif"/>
          <w:b w:val="false"/>
          <w:color w:val="000000"/>
          <w:sz w:val="25"/>
        </w:rPr>
        <w:t xml:space="preserve">6. </w:t>
      </w:r>
      <w:r>
        <w:rPr>
          <w:rFonts w:ascii="Times New Roman;serif" w:hAnsi="Times New Roman;serif"/>
          <w:b w:val="false"/>
          <w:color w:val="000000"/>
          <w:sz w:val="25"/>
          <w:u w:val="single"/>
        </w:rPr>
        <w:t>Severance Payments</w:t>
      </w:r>
      <w:r>
        <w:rPr>
          <w:rFonts w:ascii="Times New Roman;serif" w:hAnsi="Times New Roman;serif"/>
          <w:b w:val="false"/>
          <w:color w:val="000000"/>
          <w:sz w:val="25"/>
        </w:rPr>
        <w:t xml:space="preserve">.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(a) </w:t>
      </w:r>
      <w:r>
        <w:rPr>
          <w:rFonts w:ascii="Times New Roman;serif" w:hAnsi="Times New Roman;serif"/>
          <w:b w:val="false"/>
          <w:color w:val="000000"/>
          <w:sz w:val="25"/>
          <w:u w:val="single"/>
        </w:rPr>
        <w:t>Termination for any Reason</w:t>
      </w:r>
      <w:r>
        <w:rPr>
          <w:rFonts w:ascii="Times New Roman;serif" w:hAnsi="Times New Roman;serif"/>
          <w:b w:val="false"/>
          <w:color w:val="000000"/>
          <w:sz w:val="25"/>
        </w:rPr>
        <w:t xml:space="preserve">. In the event the Executive’s employment with the Company is terminated for any reason, the Company shall pay the Executive (or the Executive’s beneficiary in the event of the Executive’s death) any unpaid Annual Base Salary that has accrued as of the Date of Termination, any unreimbursed expenses due to the Executive in accordance with the Company’s expense reimbursement policy and an amount equal to compensation for accrued but unused sick days and vacation days. The Company shall permit the Executive to elect to continue health plan coverage in accordance with the requirements of applicable law (e.g., COBRA coverage), at the applicable monthly cost charged for such coverage (the “Monthly COBRA Coverage Continuation Rate”). The Company may require the Executive to complete and file any election forms that are generally required of other employees to obtain COBRA coverage; and the Executive’s COBRA coverage may be terminable in accordance with applicable law. The Executive shall also be entitled to accrued, vested benefits under the Company’s benefit plans and programs as provided therein. The Executive shall be entitled to the additional payments and benefits described below only as set forth herein.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(b) </w:t>
      </w:r>
      <w:r>
        <w:rPr>
          <w:rFonts w:ascii="Times New Roman;serif" w:hAnsi="Times New Roman;serif"/>
          <w:b w:val="false"/>
          <w:color w:val="000000"/>
          <w:sz w:val="25"/>
          <w:u w:val="single"/>
        </w:rPr>
        <w:t>Termination without Cause, Resignation for Good Reason or Termination by Reason of Death or Disability</w:t>
      </w:r>
      <w:r>
        <w:rPr>
          <w:rFonts w:ascii="Times New Roman;serif" w:hAnsi="Times New Roman;serif"/>
          <w:b w:val="false"/>
          <w:color w:val="000000"/>
          <w:sz w:val="25"/>
        </w:rPr>
        <w:t xml:space="preserve">. Subject to Sections 6(c) and (d) and the restrictions contained herein, in the event of the Executive’s termination without Cause (pursuant to Section 5(a)(v)), resignation for Good Reason (pursuant to Section 5(a)(iv)) or Disability (pursuant to Section 5(a)(i) or (ii), respectively), the Company shall pay to the Executive the amounts described in subsection (a). In addition, subject to Sections 6(c) and (d) and the restrictions contained herein, and in the case of the Executive’s termination without Cause (pursuant to Section 5(a)(v)), resignation for Good Reason (pursuant to Section 5(a)(iv)) or termination by reason of Disability (pursuant to Section 5(a)(ii)), subject to the Executive’s execution and non-revocation of a customary release in favor of the Company (the “Release”), no later than thirty (30) days following the Date of Termination, the Company shall pay to the Executive (or the Executive’s beneficiary in the event of the Executive’s death) an amount equal to the “Severance Amount” described below. For purposes of this Agreement the Severance Amount is equal to the sum of: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70890"/>
                <wp:effectExtent l="0" t="0" r="0" b="0"/>
                <wp:wrapNone/>
                <wp:docPr id="100" name="Frame99"/>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5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5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(i) 1.25 times the Executive’s Annual Base Salary;</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(ii) 1.25 times the greater of (A) the total of all bonuses paid (or payable) to the Executive in respect of the fiscal year ending immediately prior to the Date of Termination, excluding any bonuses that are extraordinary in nature (e.g., a transaction related bonus) or (B) the target bonuses for the fiscal year in which the Date of Termination falls, determined in accordance with the Company’s bonus program or programs, if any; and</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(iii) 18.0 times the difference of (A) the Monthly COBRA Continuation Coverage Rate determined as of the Date of Termination for the Executive’s applicable health plan coverage as in effect on such date, less (B) the monthly cost to Executive that is being charged for such coverage as of the Date of Termination. </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The Severance Amount as so determined shall be payable to the Executive (or the Executive’s beneficiary) in substantially equal installments over the 12-month period following the Date of Termination (the “Payment Period”) commencing no later than thirty (30) days following the execution and non-revocation of the Release, in accordance with the Company’s regular payroll practices. The first installment payment shall include all amounts that would have otherwise been paid to the Executive during the period beginning on the Date of Termination and ending on the first installment payment date. Notwithstanding the foregoing, in the event that the end of the thirty (30) day notice and revocation period for the Release would result in the first installment payment occurring in the taxable year following the year in which the Date of Termination occurs, the first installment payment shall be made in the taxable year following the year in which the Date of Termination occurs. Each payment under this Section 6(b) shall be considered a separate payment and not one of a series of payments for purposes of Code Section 409A.</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(c) </w:t>
      </w:r>
      <w:r>
        <w:rPr>
          <w:rFonts w:ascii="Times New Roman;serif" w:hAnsi="Times New Roman;serif"/>
          <w:b w:val="false"/>
          <w:color w:val="000000"/>
          <w:sz w:val="25"/>
          <w:u w:val="single"/>
        </w:rPr>
        <w:t>Benefits Provided Upon Termination of Employment</w:t>
      </w:r>
      <w:r>
        <w:rPr>
          <w:rFonts w:ascii="Times New Roman;serif" w:hAnsi="Times New Roman;serif"/>
          <w:b w:val="false"/>
          <w:color w:val="000000"/>
          <w:sz w:val="25"/>
        </w:rPr>
        <w:t xml:space="preserve">. If the Executive’s termination or resignation does not constitute a “separation from service,” as such term is defined under Code Section 409A, the Executive shall nevertheless be entitled to receive all of the payments and benefits that the Executive is entitled to receive under this Agreement on account of the Executive’s termination of employment. However, the payments and benefits that the Executive is entitled to under this Agreement shall not be provided to the Executive until such time as the Executive has incurred a “separation from service” within the meaning of Code Section 409A. </w:t>
      </w:r>
    </w:p>
    <w:p>
      <w:pPr>
        <w:pStyle w:val="TextBody"/>
        <w:bidi w:val="0"/>
        <w:spacing w:lineRule="auto" w:line="288" w:before="0" w:after="120"/>
        <w:ind w:left="0" w:right="0" w:firstLine="490"/>
        <w:jc w:val="left"/>
        <w:rPr/>
      </w:pPr>
      <w:r>
        <w:rPr>
          <w:rFonts w:ascii="Times New Roman;serif" w:hAnsi="Times New Roman;serif"/>
          <w:b w:val="false"/>
          <w:color w:val="000000"/>
          <w:sz w:val="25"/>
        </w:rPr>
        <w:t xml:space="preserve">(d) </w:t>
      </w:r>
      <w:r>
        <w:rPr>
          <w:rFonts w:ascii="Times New Roman;serif" w:hAnsi="Times New Roman;serif"/>
          <w:b w:val="false"/>
          <w:color w:val="000000"/>
          <w:sz w:val="25"/>
          <w:u w:val="single"/>
        </w:rPr>
        <w:t>Payments on Account of Termination to a Specified Employee</w:t>
      </w:r>
      <w:r>
        <w:rPr>
          <w:rFonts w:ascii="Times New Roman;serif" w:hAnsi="Times New Roman;serif"/>
          <w:b w:val="false"/>
          <w:color w:val="000000"/>
          <w:sz w:val="25"/>
        </w:rPr>
        <w:t xml:space="preserve">. Notwithstanding the foregoing provisions of Sections 6(a), 6(b) or 6(c), in the event that the Executive is determined to be a Specified Employee at the time of the Executive’s termination of employment under this Agreement (or, if later, the Executive’s “separation from service” under Code Section 409A), to the extent that a payment, reimbursement or benefit under Section 6(b) is considered to provide for a “deferral of compensation” (as determined under Code Section 409A), then such payment, reimbursement or benefit shall not be paid or provided until six months after the Executive’s separation from service, or the Executive’s death, whichever occurs first. Any payments, reimbursements or benefits that are withheld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70890"/>
                <wp:effectExtent l="0" t="0" r="0" b="0"/>
                <wp:wrapNone/>
                <wp:docPr id="101" name="Frame100"/>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6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6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under this provision for the first six months shall be payable in a lump sum on the first day after the six-month anniversary of such termination of employment (or, if later, the Executive’s “separation from service” under Code Section 409A). The restrictions in this Section 6(d) shall be interpreted and applied solely to the minimum extent necessary to comply with the requirements of Code Section 409A(a)(2)(B). Accordingly, payments, benefits or reimbursements under Section 6(b) or any other part of this Agreement may nevertheless be provided to Executive within the six-month period following the date of Executive’s termination of employment under this Agreement (or, if later, the Executive’s “separation from service” under Code Section 409A), to the extent that it would nevertheless be permissible to do so under Code Section 409A because those payments, reimbursements or benefits are (i) described in Treasury Regulations Section 1.409A-1(b)(9)(iii) (i.e., payments within the limitations therein that are being made on account of an involuntary termination or termination for good reason, within the meaning of the Treasury Regulations), or (ii) described in Treasury Regulation Section 1.409A-1(b)(4) (i.e., payments which are treated as short-term deferrals within the meaning of the Treasury Regulations), or (iii) benefits described in Treasury Regulations Section 1.409A-1(b)(9)(v) (e.g. health care benefits). </w:t>
      </w:r>
    </w:p>
    <w:p>
      <w:pPr>
        <w:pStyle w:val="TextBody"/>
        <w:bidi w:val="0"/>
        <w:spacing w:lineRule="auto" w:line="288" w:before="0" w:after="120"/>
        <w:jc w:val="left"/>
        <w:rPr/>
      </w:pPr>
      <w:r>
        <w:rPr>
          <w:rFonts w:ascii="Times New Roman;serif" w:hAnsi="Times New Roman;serif"/>
          <w:b w:val="false"/>
          <w:color w:val="000000"/>
          <w:sz w:val="25"/>
        </w:rPr>
        <w:t xml:space="preserve">7. </w:t>
      </w:r>
      <w:r>
        <w:rPr>
          <w:rFonts w:ascii="Times New Roman;serif" w:hAnsi="Times New Roman;serif"/>
          <w:b w:val="false"/>
          <w:color w:val="000000"/>
          <w:sz w:val="25"/>
          <w:u w:val="single"/>
        </w:rPr>
        <w:t>Competition; Nonsolicitation</w:t>
      </w:r>
      <w:r>
        <w:rPr>
          <w:rFonts w:ascii="Times New Roman;serif" w:hAnsi="Times New Roman;serif"/>
          <w:b w:val="false"/>
          <w:color w:val="000000"/>
          <w:sz w:val="25"/>
        </w:rPr>
        <w:t xml:space="preserve">.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(a) During the Term and, following any termination of the Executive’s employment, for a period equal to (i) the Payment Period, in the case of a termination of employment for which payments are made pursuant to Section 6(b) hereof, or (ii) 24 months from the date of such termination in the event of a voluntary termination of employment by the Executive without Good Reason, or a termination by the Company for Cause, the Executive shall not, without the prior written consent of the Board, directly or indirectly engage in, or have any interest in, or manage or operate any person, firm, corporation, partnership or business (whether as director, officer, employee, agent, representative, partner, security holder, consultant or otherwise) that engages in any business (other than a business that constitutes less than 5% of the relevant entity’s net revenue and a proportionate share of its operating income) which competes with any business of the Company or any entity owned by it anywhere in the world; provided, however, that the Executive shall be permitted to acquire a stock interest in such a corporation provided such stock is publicly traded and the stock so acquired does not represent more than one percent of the outstanding shares of such corporation.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(b) During the Term and for a period of two years following any termination of the Executive’s employment, the Executive shall not, directly or indirectly, on the Executive’s own behalf or on behalf of any other person or entity, whether as an owner, employee, service provider or otherwise, solicit or induce any person who is or was employed by, or providing consulting services to, the Company or any of its subsidiaries during the twelve-month period prior to the date of such termination, to terminate their employment or consulting relationship with the Company or any such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70890"/>
                <wp:effectExtent l="0" t="0" r="0" b="0"/>
                <wp:wrapNone/>
                <wp:docPr id="102" name="Frame101"/>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7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7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firstLine="720"/>
        <w:jc w:val="left"/>
        <w:rPr>
          <w:rFonts w:ascii="Times New Roman;serif" w:hAnsi="Times New Roman;serif"/>
          <w:b w:val="false"/>
          <w:color w:val="000000"/>
          <w:sz w:val="25"/>
        </w:rPr>
      </w:pPr>
      <w:r>
        <w:rPr>
          <w:rFonts w:ascii="Times New Roman;serif" w:hAnsi="Times New Roman;serif"/>
          <w:b w:val="false"/>
          <w:color w:val="000000"/>
          <w:sz w:val="25"/>
        </w:rPr>
        <w:t xml:space="preserve">(c) In the event the agreement in this Section 7 shall be determined by any court of competent jurisdiction to be unenforceable by reason of its extending for too great a period of time or over too great a geographical area or by reason of its being too extensive in any other respect, it shall be interpreted to extend only over the maximum period of time for which it may be enforceable, and/or over the maximum geographical area as to which it may be enforceable and/or to the maximum extent in all other respects as to which it may be enforceable, all as determined by such court in such action. </w:t>
      </w:r>
    </w:p>
    <w:p>
      <w:pPr>
        <w:pStyle w:val="TextBody"/>
        <w:bidi w:val="0"/>
        <w:spacing w:lineRule="auto" w:line="288" w:before="0" w:after="120"/>
        <w:jc w:val="left"/>
        <w:rPr/>
      </w:pPr>
      <w:r>
        <w:rPr>
          <w:rFonts w:ascii="Times New Roman;serif" w:hAnsi="Times New Roman;serif"/>
          <w:b w:val="false"/>
          <w:color w:val="000000"/>
          <w:sz w:val="25"/>
        </w:rPr>
        <w:t xml:space="preserve">8. </w:t>
      </w:r>
      <w:r>
        <w:rPr>
          <w:rFonts w:ascii="Times New Roman;serif" w:hAnsi="Times New Roman;serif"/>
          <w:b w:val="false"/>
          <w:color w:val="000000"/>
          <w:sz w:val="25"/>
          <w:u w:val="single"/>
        </w:rPr>
        <w:t>Nondisclosure of Proprietary Information</w:t>
      </w:r>
      <w:r>
        <w:rPr>
          <w:rFonts w:ascii="Times New Roman;serif" w:hAnsi="Times New Roman;serif"/>
          <w:b w:val="false"/>
          <w:color w:val="000000"/>
          <w:sz w:val="25"/>
        </w:rPr>
        <w:t xml:space="preserve">.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(a) Except as required in the faithful performance of the Executive’s duties hereunder or pursuant to subsection (c), the Executive shall, in perpetuity, maintain in confidence and shall not directly, indirectly or otherwise, use, disseminate, disclose or publish, or use for the Executive’s benefit or the benefit of any person, firm, corporation or other entity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except for such information which is or becomes publicly available other than as a result of a breach by the Executive of this Section 8, or deliver to any person, firm, corporation or other entity any document, record, notebook, computer program or similar repository of or containing any such confidential or proprietary information or trade secrets. The parties hereby stipulate and agree that as between them the foregoing matters are important, material and confidential proprietary information and trade secrets and affect the successful conduct of the businesses of the Company (and any successor or assignee of the Company).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(b) Upon termination of the Executive’s employment with the Company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and/or which contain proprietary information or trade secrets.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(c)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shall assist such counsel in resisting or otherwise responding to such process. Notwithstanding anything in this Agreement or otherwise to the contrary, nothing in this Agreement or otherwise prevents the Executive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Executive is not prohibited from providing information voluntarily to the Securities and Exchange Commission pursuant to Section 21F of the Securities Exchange Act of 1934, as amended.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70890"/>
                <wp:effectExtent l="0" t="0" r="0" b="0"/>
                <wp:wrapNone/>
                <wp:docPr id="103" name="Frame102"/>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8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8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Times New Roman;serif" w:hAnsi="Times New Roman;serif"/>
          <w:b w:val="false"/>
          <w:color w:val="000000"/>
          <w:sz w:val="25"/>
        </w:rPr>
        <w:t xml:space="preserve">9. </w:t>
      </w:r>
      <w:r>
        <w:rPr>
          <w:rFonts w:ascii="Times New Roman;serif" w:hAnsi="Times New Roman;serif"/>
          <w:b w:val="false"/>
          <w:color w:val="000000"/>
          <w:sz w:val="25"/>
          <w:u w:val="single"/>
        </w:rPr>
        <w:t>Injunctive Relief</w:t>
      </w:r>
      <w:r>
        <w:rPr>
          <w:rFonts w:ascii="Times New Roman;serif" w:hAnsi="Times New Roman;serif"/>
          <w:b w:val="false"/>
          <w:color w:val="000000"/>
          <w:sz w:val="25"/>
        </w:rPr>
        <w:t xml:space="preserve">. It is recognized and acknowledged by the Executive that a breach of the covenants contained in Sections 7 and 8 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Sections 7 and 8, in addition to any other remedy which may be available at law or in equity, the Company shall be entitled to specific performance and injunctive relief. </w:t>
      </w:r>
    </w:p>
    <w:p>
      <w:pPr>
        <w:pStyle w:val="TextBody"/>
        <w:bidi w:val="0"/>
        <w:spacing w:lineRule="auto" w:line="288" w:before="0" w:after="120"/>
        <w:jc w:val="left"/>
        <w:rPr/>
      </w:pPr>
      <w:r>
        <w:rPr>
          <w:rFonts w:ascii="Times New Roman;serif" w:hAnsi="Times New Roman;serif"/>
          <w:b w:val="false"/>
          <w:color w:val="000000"/>
          <w:sz w:val="25"/>
        </w:rPr>
        <w:t xml:space="preserve">10. </w:t>
      </w:r>
      <w:r>
        <w:rPr>
          <w:rFonts w:ascii="Times New Roman;serif" w:hAnsi="Times New Roman;serif"/>
          <w:b w:val="false"/>
          <w:color w:val="000000"/>
          <w:sz w:val="25"/>
          <w:u w:val="single"/>
        </w:rPr>
        <w:t>Survival</w:t>
      </w:r>
      <w:r>
        <w:rPr>
          <w:rFonts w:ascii="Times New Roman;serif" w:hAnsi="Times New Roman;serif"/>
          <w:b w:val="false"/>
          <w:color w:val="000000"/>
          <w:sz w:val="25"/>
        </w:rPr>
        <w:t xml:space="preserve">. The expiration or termination of the Term shall not impair the rights or obligations of any party hereto which shall have accrued hereunder prior to such expiration. </w:t>
      </w:r>
    </w:p>
    <w:p>
      <w:pPr>
        <w:pStyle w:val="TextBody"/>
        <w:bidi w:val="0"/>
        <w:spacing w:lineRule="auto" w:line="288" w:before="0" w:after="120"/>
        <w:jc w:val="left"/>
        <w:rPr/>
      </w:pPr>
      <w:r>
        <w:rPr>
          <w:rFonts w:ascii="Times New Roman;serif" w:hAnsi="Times New Roman;serif"/>
          <w:b w:val="false"/>
          <w:color w:val="000000"/>
          <w:sz w:val="25"/>
        </w:rPr>
        <w:t xml:space="preserve">11. </w:t>
      </w:r>
      <w:r>
        <w:rPr>
          <w:rFonts w:ascii="Times New Roman;serif" w:hAnsi="Times New Roman;serif"/>
          <w:b w:val="false"/>
          <w:color w:val="000000"/>
          <w:sz w:val="25"/>
          <w:u w:val="single"/>
        </w:rPr>
        <w:t>Binding on Successors</w:t>
      </w:r>
      <w:r>
        <w:rPr>
          <w:rFonts w:ascii="Times New Roman;serif" w:hAnsi="Times New Roman;serif"/>
          <w:b w:val="false"/>
          <w:color w:val="000000"/>
          <w:sz w:val="25"/>
        </w:rPr>
        <w:t xml:space="preserve">. This Agreement shall be binding upon and inure to the benefit of the Company, the Executive and their respective successors, assigns, personnel and legal representatives, executors, administrators, heirs, distributees, devisees, and legatees, as applicable. </w:t>
      </w:r>
    </w:p>
    <w:p>
      <w:pPr>
        <w:pStyle w:val="TextBody"/>
        <w:bidi w:val="0"/>
        <w:spacing w:lineRule="auto" w:line="288" w:before="0" w:after="120"/>
        <w:jc w:val="left"/>
        <w:rPr/>
      </w:pPr>
      <w:r>
        <w:rPr>
          <w:rFonts w:ascii="Times New Roman;serif" w:hAnsi="Times New Roman;serif"/>
          <w:b w:val="false"/>
          <w:color w:val="000000"/>
          <w:sz w:val="25"/>
        </w:rPr>
        <w:t xml:space="preserve">12. </w:t>
      </w:r>
      <w:r>
        <w:rPr>
          <w:rFonts w:ascii="Times New Roman;serif" w:hAnsi="Times New Roman;serif"/>
          <w:b w:val="false"/>
          <w:color w:val="000000"/>
          <w:sz w:val="25"/>
          <w:u w:val="single"/>
        </w:rPr>
        <w:t>Governing Law</w:t>
      </w:r>
      <w:r>
        <w:rPr>
          <w:rFonts w:ascii="Times New Roman;serif" w:hAnsi="Times New Roman;serif"/>
          <w:b w:val="false"/>
          <w:color w:val="000000"/>
          <w:sz w:val="25"/>
        </w:rPr>
        <w:t xml:space="preserve">. This Agreement shall be governed, construed, interpreted and enforced in accordance with the substantive laws of the State of Ohio. </w:t>
      </w:r>
    </w:p>
    <w:p>
      <w:pPr>
        <w:pStyle w:val="TextBody"/>
        <w:bidi w:val="0"/>
        <w:spacing w:lineRule="auto" w:line="288" w:before="0" w:after="120"/>
        <w:jc w:val="left"/>
        <w:rPr/>
      </w:pPr>
      <w:r>
        <w:rPr>
          <w:rFonts w:ascii="Times New Roman;serif" w:hAnsi="Times New Roman;serif"/>
          <w:b w:val="false"/>
          <w:color w:val="000000"/>
          <w:sz w:val="25"/>
        </w:rPr>
        <w:t xml:space="preserve">13. </w:t>
      </w:r>
      <w:r>
        <w:rPr>
          <w:rFonts w:ascii="Times New Roman;serif" w:hAnsi="Times New Roman;serif"/>
          <w:b w:val="false"/>
          <w:color w:val="000000"/>
          <w:sz w:val="25"/>
          <w:u w:val="single"/>
        </w:rPr>
        <w:t>Validity</w:t>
      </w:r>
      <w:r>
        <w:rPr>
          <w:rFonts w:ascii="Times New Roman;serif" w:hAnsi="Times New Roman;serif"/>
          <w:b w:val="false"/>
          <w:color w:val="000000"/>
          <w:sz w:val="25"/>
        </w:rPr>
        <w:t xml:space="preserve">. The invalidity or unenforceability of any provision or provisions of this Agreement shall not affect the validity or enforceability of any other provision of this Agreement, which shall remain in full force and effect. </w:t>
      </w:r>
    </w:p>
    <w:p>
      <w:pPr>
        <w:pStyle w:val="TextBody"/>
        <w:bidi w:val="0"/>
        <w:spacing w:lineRule="auto" w:line="288" w:before="0" w:after="120"/>
        <w:jc w:val="left"/>
        <w:rPr/>
      </w:pPr>
      <w:r>
        <w:rPr>
          <w:rFonts w:ascii="Times New Roman;serif" w:hAnsi="Times New Roman;serif"/>
          <w:b w:val="false"/>
          <w:color w:val="000000"/>
          <w:sz w:val="25"/>
        </w:rPr>
        <w:t xml:space="preserve">14. </w:t>
      </w:r>
      <w:r>
        <w:rPr>
          <w:rFonts w:ascii="Times New Roman;serif" w:hAnsi="Times New Roman;serif"/>
          <w:b w:val="false"/>
          <w:color w:val="000000"/>
          <w:sz w:val="25"/>
          <w:u w:val="single"/>
        </w:rPr>
        <w:t>Notices</w:t>
      </w:r>
      <w:r>
        <w:rPr>
          <w:rFonts w:ascii="Times New Roman;serif" w:hAnsi="Times New Roman;serif"/>
          <w:b w:val="false"/>
          <w:color w:val="000000"/>
          <w:sz w:val="25"/>
        </w:rPr>
        <w:t xml:space="preserve">. Any notice, request, claim, demand, document or other communication hereunder to any party shall be effective upon receipt (or refusal of receipt) and shall be in writing and delivered personally or sent by telex, telecopy, or certified or registered mail, postage prepaid, as follows: </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(a) If to the Company, to: </w:t>
      </w:r>
    </w:p>
    <w:p>
      <w:pPr>
        <w:pStyle w:val="TextBody"/>
        <w:bidi w:val="0"/>
        <w:spacing w:lineRule="auto" w:line="288" w:before="0" w:after="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TransDigm Group Incorporated </w:t>
      </w:r>
    </w:p>
    <w:p>
      <w:pPr>
        <w:pStyle w:val="TextBody"/>
        <w:bidi w:val="0"/>
        <w:spacing w:lineRule="auto" w:line="288" w:before="0" w:after="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Cohen &amp; Co. Building</w:t>
      </w:r>
    </w:p>
    <w:p>
      <w:pPr>
        <w:pStyle w:val="TextBody"/>
        <w:bidi w:val="0"/>
        <w:spacing w:lineRule="auto" w:line="288" w:before="0" w:after="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1350 Euclid Avenue, Suite 1600 </w:t>
      </w:r>
    </w:p>
    <w:p>
      <w:pPr>
        <w:pStyle w:val="TextBody"/>
        <w:bidi w:val="0"/>
        <w:spacing w:lineRule="auto" w:line="288" w:before="0" w:after="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Cleveland, Ohio 441145</w:t>
      </w:r>
    </w:p>
    <w:p>
      <w:pPr>
        <w:pStyle w:val="TextBody"/>
        <w:bidi w:val="0"/>
        <w:spacing w:lineRule="auto" w:line="288" w:before="0" w:after="120"/>
        <w:ind w:left="0" w:right="0" w:firstLine="490"/>
        <w:jc w:val="left"/>
        <w:rPr>
          <w:rFonts w:ascii="Times New Roman;serif" w:hAnsi="Times New Roman;serif"/>
          <w:b w:val="false"/>
          <w:color w:val="000000"/>
          <w:sz w:val="25"/>
        </w:rPr>
      </w:pPr>
      <w:r>
        <w:rPr>
          <w:rFonts w:ascii="Times New Roman;serif" w:hAnsi="Times New Roman;serif"/>
          <w:b w:val="false"/>
          <w:color w:val="000000"/>
          <w:sz w:val="25"/>
        </w:rPr>
        <w:t xml:space="preserve">Attention: Chief Executive Officer </w:t>
      </w:r>
    </w:p>
    <w:p>
      <w:pPr>
        <w:pStyle w:val="TextBody"/>
        <w:bidi w:val="0"/>
        <w:spacing w:lineRule="auto" w:line="288" w:before="0" w:after="120"/>
        <w:ind w:left="0" w:right="0" w:hanging="320"/>
        <w:jc w:val="left"/>
        <w:rPr>
          <w:rFonts w:ascii="Times New Roman;serif" w:hAnsi="Times New Roman;serif"/>
          <w:b w:val="false"/>
          <w:color w:val="000000"/>
          <w:sz w:val="25"/>
        </w:rPr>
      </w:pPr>
      <w:r>
        <w:rPr>
          <w:rFonts w:ascii="Times New Roman;serif" w:hAnsi="Times New Roman;serif"/>
          <w:b w:val="false"/>
          <w:color w:val="000000"/>
          <w:sz w:val="25"/>
        </w:rPr>
        <w:t xml:space="preserve">(b) If to the Executive, to Executive’s home address last shown on the records of the Company; or at any other address as any party shall have specified by notice in writing to the other party in accordance with this Section 14. </w:t>
      </w:r>
    </w:p>
    <w:p>
      <w:pPr>
        <w:pStyle w:val="TextBody"/>
        <w:bidi w:val="0"/>
        <w:spacing w:lineRule="auto" w:line="288" w:before="0" w:after="120"/>
        <w:jc w:val="left"/>
        <w:rPr/>
      </w:pPr>
      <w:r>
        <w:rPr>
          <w:rFonts w:ascii="Times New Roman;serif" w:hAnsi="Times New Roman;serif"/>
          <w:b w:val="false"/>
          <w:color w:val="000000"/>
          <w:sz w:val="25"/>
        </w:rPr>
        <w:t xml:space="preserve">15. </w:t>
      </w:r>
      <w:r>
        <w:rPr>
          <w:rFonts w:ascii="Times New Roman;serif" w:hAnsi="Times New Roman;serif"/>
          <w:b w:val="false"/>
          <w:color w:val="000000"/>
          <w:sz w:val="25"/>
          <w:u w:val="single"/>
        </w:rPr>
        <w:t>Counterparts</w:t>
      </w:r>
      <w:r>
        <w:rPr>
          <w:rFonts w:ascii="Times New Roman;serif" w:hAnsi="Times New Roman;serif"/>
          <w:b w:val="false"/>
          <w:color w:val="000000"/>
          <w:sz w:val="25"/>
        </w:rPr>
        <w:t xml:space="preserve">. This Agreement may be executed in two counterparts, each of which shall be deemed to be an original, but both of which together shall constitute one and the same Agreement. </w:t>
      </w:r>
    </w:p>
    <w:p>
      <w:pPr>
        <w:pStyle w:val="TextBody"/>
        <w:bidi w:val="0"/>
        <w:spacing w:lineRule="auto" w:line="288" w:before="0" w:after="120"/>
        <w:jc w:val="left"/>
        <w:rPr/>
      </w:pPr>
      <w:r>
        <w:rPr>
          <w:rFonts w:ascii="Times New Roman;serif" w:hAnsi="Times New Roman;serif"/>
          <w:b w:val="false"/>
          <w:color w:val="000000"/>
          <w:sz w:val="25"/>
        </w:rPr>
        <w:t xml:space="preserve">16. </w:t>
      </w:r>
      <w:r>
        <w:rPr>
          <w:rFonts w:ascii="Times New Roman;serif" w:hAnsi="Times New Roman;serif"/>
          <w:b w:val="false"/>
          <w:color w:val="000000"/>
          <w:sz w:val="25"/>
          <w:u w:val="single"/>
        </w:rPr>
        <w:t>Entire Agreement; Prior Employment Agreements</w:t>
      </w:r>
      <w:r>
        <w:rPr>
          <w:rFonts w:ascii="Times New Roman;serif" w:hAnsi="Times New Roman;serif"/>
          <w:b w:val="false"/>
          <w:color w:val="000000"/>
          <w:sz w:val="25"/>
        </w:rPr>
        <w:t xml:space="preserve">. The terms of this Agreement, together with the Equity Compensation Agreements, are intended by the parties to be the final expression of their agreement with respect to the employment of the Executive by the Company as of and after the Effective Date (with the Original Agreement being the final expression of the parties’ agreement with respect to the employment of the Executive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70890"/>
                <wp:effectExtent l="0" t="0" r="0" b="0"/>
                <wp:wrapNone/>
                <wp:docPr id="104" name="Frame103"/>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9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9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Company from November 14, 2019 to August 13, 2024, and the Amended Agreement being the final expression of the parties’ agreement with respect to the employment of the Executive by the Company from November 14, 2019 to the day prior to the Effective Date), and such agreement may not be contradicted by evidence of any prior or contemporaneous agreements. </w: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The parties further intend that this Agreement, and the aforementioned contemporaneous documents, shall constitute the complete and exclusive statement of its terms and that no extrinsic evidence whatsoever may be introduced in any judicial, administrative, or other legal proceeding to vary the terms of this Agreement. </w:t>
      </w:r>
    </w:p>
    <w:p>
      <w:pPr>
        <w:pStyle w:val="TextBody"/>
        <w:bidi w:val="0"/>
        <w:spacing w:lineRule="auto" w:line="288" w:before="0" w:after="120"/>
        <w:jc w:val="left"/>
        <w:rPr/>
      </w:pPr>
      <w:r>
        <w:rPr>
          <w:rFonts w:ascii="Times New Roman;serif" w:hAnsi="Times New Roman;serif"/>
          <w:b w:val="false"/>
          <w:color w:val="000000"/>
          <w:sz w:val="25"/>
        </w:rPr>
        <w:t xml:space="preserve">17. </w:t>
      </w:r>
      <w:r>
        <w:rPr>
          <w:rFonts w:ascii="Times New Roman;serif" w:hAnsi="Times New Roman;serif"/>
          <w:b w:val="false"/>
          <w:color w:val="000000"/>
          <w:sz w:val="25"/>
          <w:u w:val="single"/>
        </w:rPr>
        <w:t>Amendments; Waivers</w:t>
      </w:r>
      <w:r>
        <w:rPr>
          <w:rFonts w:ascii="Times New Roman;serif" w:hAnsi="Times New Roman;serif"/>
          <w:b w:val="false"/>
          <w:color w:val="000000"/>
          <w:sz w:val="25"/>
        </w:rPr>
        <w:t xml:space="preserve">. This Agreement may not be modified, amended, or terminated except by an instrument in writing, signed by the Executive and the Chief Executive Officer. By an instrument in writing similarly executed, the Executive or the Company may waive compliance by the other party or parties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 </w:t>
      </w:r>
    </w:p>
    <w:p>
      <w:pPr>
        <w:pStyle w:val="TextBody"/>
        <w:bidi w:val="0"/>
        <w:spacing w:lineRule="auto" w:line="288" w:before="0" w:after="120"/>
        <w:jc w:val="left"/>
        <w:rPr/>
      </w:pPr>
      <w:r>
        <w:rPr>
          <w:rFonts w:ascii="Times New Roman;serif" w:hAnsi="Times New Roman;serif"/>
          <w:b w:val="false"/>
          <w:color w:val="000000"/>
          <w:sz w:val="25"/>
        </w:rPr>
        <w:t xml:space="preserve">18. </w:t>
      </w:r>
      <w:r>
        <w:rPr>
          <w:rFonts w:ascii="Times New Roman;serif" w:hAnsi="Times New Roman;serif"/>
          <w:b w:val="false"/>
          <w:color w:val="000000"/>
          <w:sz w:val="25"/>
          <w:u w:val="single"/>
        </w:rPr>
        <w:t>No Inconsistent Actions</w:t>
      </w:r>
      <w:r>
        <w:rPr>
          <w:rFonts w:ascii="Times New Roman;serif" w:hAnsi="Times New Roman;serif"/>
          <w:b w:val="false"/>
          <w:color w:val="000000"/>
          <w:sz w:val="25"/>
        </w:rPr>
        <w:t xml:space="preserve">.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 </w:t>
      </w:r>
    </w:p>
    <w:p>
      <w:pPr>
        <w:pStyle w:val="TextBody"/>
        <w:bidi w:val="0"/>
        <w:spacing w:lineRule="auto" w:line="288" w:before="0" w:after="120"/>
        <w:jc w:val="left"/>
        <w:rPr/>
      </w:pPr>
      <w:r>
        <w:rPr>
          <w:rFonts w:ascii="Times New Roman;serif" w:hAnsi="Times New Roman;serif"/>
          <w:b w:val="false"/>
          <w:color w:val="000000"/>
          <w:sz w:val="25"/>
        </w:rPr>
        <w:t xml:space="preserve">19. </w:t>
      </w:r>
      <w:r>
        <w:rPr>
          <w:rFonts w:ascii="Times New Roman;serif" w:hAnsi="Times New Roman;serif"/>
          <w:b w:val="false"/>
          <w:color w:val="000000"/>
          <w:sz w:val="25"/>
          <w:u w:val="single"/>
        </w:rPr>
        <w:t>Arbitration</w:t>
      </w:r>
      <w:r>
        <w:rPr>
          <w:rFonts w:ascii="Times New Roman;serif" w:hAnsi="Times New Roman;serif"/>
          <w:b w:val="false"/>
          <w:color w:val="000000"/>
          <w:sz w:val="25"/>
        </w:rPr>
        <w:t xml:space="preserve">. Any dispute or controversy arising under or in connection with this Agreement shall be settled exclusively by arbitration, conducted before a panel of three arbitrators in Cleveland, Ohio, in accordance with the rules of the American Arbitration Association then in effect. Judgment may be entered on the arbitrator’s award in any court having jurisdiction; </w:t>
      </w:r>
      <w:r>
        <w:rPr>
          <w:rFonts w:ascii="Times New Roman;serif" w:hAnsi="Times New Roman;serif"/>
          <w:b w:val="false"/>
          <w:color w:val="000000"/>
          <w:sz w:val="25"/>
          <w:u w:val="single"/>
        </w:rPr>
        <w:t>provided</w:t>
      </w:r>
      <w:r>
        <w:rPr>
          <w:rFonts w:ascii="Times New Roman;serif" w:hAnsi="Times New Roman;serif"/>
          <w:b w:val="false"/>
          <w:color w:val="000000"/>
          <w:sz w:val="25"/>
        </w:rPr>
        <w:t xml:space="preserve">, </w:t>
      </w:r>
      <w:r>
        <w:rPr>
          <w:rFonts w:ascii="Times New Roman;serif" w:hAnsi="Times New Roman;serif"/>
          <w:b w:val="false"/>
          <w:color w:val="000000"/>
          <w:sz w:val="25"/>
          <w:u w:val="single"/>
        </w:rPr>
        <w:t>however</w:t>
      </w:r>
      <w:r>
        <w:rPr>
          <w:rFonts w:ascii="Times New Roman;serif" w:hAnsi="Times New Roman;serif"/>
          <w:b w:val="false"/>
          <w:color w:val="000000"/>
          <w:sz w:val="25"/>
        </w:rPr>
        <w:t xml:space="preserve">, that the Company shall be entitled to seek a restraining order or injunction in any court of competent jurisdiction to prevent any continuation of any violation of the provisions of Section 7 or 8 of this Agreement and the Executive hereby consents that such restraining order or injunction may be granted without the necessity of the Company’s posting any bond; and </w:t>
      </w:r>
      <w:r>
        <w:rPr>
          <w:rFonts w:ascii="Times New Roman;serif" w:hAnsi="Times New Roman;serif"/>
          <w:b w:val="false"/>
          <w:color w:val="000000"/>
          <w:sz w:val="25"/>
          <w:u w:val="single"/>
        </w:rPr>
        <w:t>provided further</w:t>
      </w:r>
      <w:r>
        <w:rPr>
          <w:rFonts w:ascii="Times New Roman;serif" w:hAnsi="Times New Roman;serif"/>
          <w:b w:val="false"/>
          <w:color w:val="000000"/>
          <w:sz w:val="25"/>
        </w:rPr>
        <w:t xml:space="preserve">, that the Executive shall be entitled to seek specific performance of the Executive’s right to be paid until the Date of Termination during the pendency of any dispute or controversy arising under or in connection with this Agreement. Each of the parties hereto shall bear its share of the fees and expenses of any arbitration hereunder. </w:t>
      </w:r>
    </w:p>
    <w:p>
      <w:pPr>
        <w:pStyle w:val="TextBody"/>
        <w:bidi w:val="0"/>
        <w:spacing w:lineRule="auto" w:line="288" w:before="0" w:after="120"/>
        <w:jc w:val="left"/>
        <w:rPr/>
      </w:pPr>
      <w:r>
        <w:rPr>
          <w:rFonts w:ascii="Times New Roman;serif" w:hAnsi="Times New Roman;serif"/>
          <w:b w:val="false"/>
          <w:color w:val="000000"/>
          <w:sz w:val="25"/>
        </w:rPr>
        <w:t xml:space="preserve">20. </w:t>
      </w:r>
      <w:r>
        <w:rPr>
          <w:rFonts w:ascii="Times New Roman;serif" w:hAnsi="Times New Roman;serif"/>
          <w:b w:val="false"/>
          <w:color w:val="000000"/>
          <w:sz w:val="25"/>
          <w:u w:val="single"/>
        </w:rPr>
        <w:t>Indemnification and Insurance; Legal Expenses</w:t>
      </w:r>
      <w:r>
        <w:rPr>
          <w:rFonts w:ascii="Times New Roman;serif" w:hAnsi="Times New Roman;serif"/>
          <w:b w:val="false"/>
          <w:color w:val="000000"/>
          <w:sz w:val="25"/>
        </w:rPr>
        <w:t xml:space="preserve">. During the Term and so long as the Executive has not breached any of the Executive’s obligations set forth in Sections 7 and 8, the Company shall indemnify the Executive to the fullest extent permitted by the laws of the State of Delaware, as in effect at the time of the subject act or omission, and shall advance to the Executive reasonable attorneys’ fees and expenses as such fees and expenses are incurred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70890"/>
                <wp:effectExtent l="0" t="0" r="0" b="0"/>
                <wp:wrapNone/>
                <wp:docPr id="105" name="Frame104"/>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10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10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(subject to an undertaking from the Executive to repay such advances if it shall be finally determined by a judicial decision which is not subject to further appeal that the Executive was not entitled to the reimbursement of such fees and expenses) and the Executive shall be entitled to the protection of any insurance policies the Company shall elect to maintain generally for the benefit of its directors and officers (“Directors and Officers Insurance”) against all costs, charges and expenses incurred or sustained by the Executive in connection with any action, suit or proceeding to which the Executive may be made a party by reason of the Executive being or having been a director, officer or employee of the Company or any of its subsidiaries or the Executive serving or having served any other enterprise as a director, officer or employee at the request of the Company (other than any dispute, claim or controversy arising under or relating to this Agreement). The Company covenants to maintain during the Term for the benefit of the Executive (in the Executive’s capacity as an officer and director of the Company) Directors and Officers Insurance providing customary benefits to the Executive.</w:t>
      </w:r>
    </w:p>
    <w:p>
      <w:pPr>
        <w:pStyle w:val="TextBody"/>
        <w:bidi w:val="0"/>
        <w:spacing w:lineRule="auto" w:line="288" w:before="0" w:after="120"/>
        <w:jc w:val="left"/>
        <w:rPr/>
      </w:pPr>
      <w:r>
        <w:rPr>
          <w:rFonts w:ascii="Times New Roman;serif" w:hAnsi="Times New Roman;serif"/>
          <w:b w:val="false"/>
          <w:color w:val="000000"/>
          <w:sz w:val="25"/>
        </w:rPr>
        <w:t xml:space="preserve">21. </w:t>
      </w:r>
      <w:r>
        <w:rPr>
          <w:rFonts w:ascii="Times New Roman;serif" w:hAnsi="Times New Roman;serif"/>
          <w:b w:val="false"/>
          <w:color w:val="000000"/>
          <w:sz w:val="25"/>
          <w:u w:val="single"/>
        </w:rPr>
        <w:t>Clawback</w:t>
      </w:r>
      <w:r>
        <w:rPr>
          <w:rFonts w:ascii="Times New Roman;serif" w:hAnsi="Times New Roman;serif"/>
          <w:b w:val="false"/>
          <w:color w:val="000000"/>
          <w:sz w:val="25"/>
        </w:rPr>
        <w:t>. Notwithstanding anything in this Agreement to the contrary, the Executive acknowledges and agrees that this Agreement and any compensation described herein are subject to the terms and conditions of the Company’s Clawback policy or policies (if any) as may be in effect from time to time, including specifically to implement Section 10D of the Securities Exchange Act of 1934, as amended, and any applicable rules or regulations promulgated thereunder (including applicable rules and regulations of any national securities exchange on which the Common Stock may be traded) (collectively, the “Compensation Recovery Policy”), and that applicable sections of this Agreement and any related documents shall be deemed superseded by and subject to the terms and conditions of the Compensation Recovery Policy from and after the effective date thereof.</w:t>
      </w:r>
    </w:p>
    <w:p>
      <w:pPr>
        <w:pStyle w:val="TextBody"/>
        <w:bidi w:val="0"/>
        <w:spacing w:lineRule="auto" w:line="288" w:before="0" w:after="120"/>
        <w:jc w:val="center"/>
        <w:rPr>
          <w:rFonts w:ascii="Times New Roman;serif" w:hAnsi="Times New Roman;serif"/>
          <w:b w:val="false"/>
          <w:color w:val="000000"/>
          <w:sz w:val="25"/>
        </w:rPr>
      </w:pPr>
      <w:r>
        <w:rPr>
          <w:rFonts w:ascii="Times New Roman;serif" w:hAnsi="Times New Roman;serif"/>
          <w:b w:val="false"/>
          <w:color w:val="000000"/>
          <w:sz w:val="25"/>
        </w:rPr>
        <w:t xml:space="preserve">(SIGNATURE PAGE FOLLOWS) </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70890"/>
                <wp:effectExtent l="0" t="0" r="0" b="0"/>
                <wp:wrapNone/>
                <wp:docPr id="106" name="Frame105"/>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r>
                              <w:br w:type="page"/>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11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11 of 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IN WITNESS WHEREOF, the parties have executed this Agreement on the date and year first above written. </w:t>
      </w:r>
    </w:p>
    <w:tbl>
      <w:tblPr>
        <w:tblW w:w="5587" w:type="dxa"/>
        <w:jc w:val="left"/>
        <w:tblInd w:w="0" w:type="dxa"/>
        <w:tblLayout w:type="fixed"/>
        <w:tblCellMar>
          <w:top w:w="28" w:type="dxa"/>
          <w:left w:w="28" w:type="dxa"/>
          <w:bottom w:w="28" w:type="dxa"/>
          <w:right w:w="28" w:type="dxa"/>
        </w:tblCellMar>
      </w:tblPr>
      <w:tblGrid>
        <w:gridCol w:w="538"/>
        <w:gridCol w:w="473"/>
        <w:gridCol w:w="473"/>
        <w:gridCol w:w="473"/>
        <w:gridCol w:w="473"/>
        <w:gridCol w:w="473"/>
        <w:gridCol w:w="782"/>
        <w:gridCol w:w="782"/>
        <w:gridCol w:w="112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TRANSDIGM GROUP INCORPORATED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By:</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/s/ Kevin Stein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Name: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Kevin Stein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Title:</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Chief Executive Officer</w:t>
            </w:r>
          </w:p>
        </w:tc>
      </w:tr>
      <w:tr>
        <w:trPr/>
        <w:tc>
          <w:tcPr>
            <w:tcW w:w="5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EXECUTIVE</w:t>
            </w:r>
          </w:p>
        </w:tc>
      </w:tr>
      <w:tr>
        <w:trPr/>
        <w:tc>
          <w:tcPr>
            <w:tcW w:w="5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/s/ Patrick Murphy</w:t>
            </w:r>
          </w:p>
        </w:tc>
      </w:tr>
      <w:tr>
        <w:trPr/>
        <w:tc>
          <w:tcPr>
            <w:tcW w:w="55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5"/>
              </w:rPr>
            </w:pPr>
            <w:r>
              <w:rPr>
                <w:rFonts w:ascii="Times New Roman;serif" w:hAnsi="Times New Roman;serif"/>
                <w:b w:val="false"/>
                <w:color w:val="000000"/>
                <w:sz w:val="25"/>
              </w:rPr>
              <w:t xml:space="preserve">Patrick Murphy </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5"/>
        </w:rPr>
      </w:pPr>
      <w:r>
        <w:rPr>
          <w:rFonts w:ascii="Times New Roman;serif" w:hAnsi="Times New Roman;serif"/>
          <w:b/>
          <w:color w:val="000000"/>
          <w:sz w:val="25"/>
        </w:rPr>
        <w:t>Exhibit 10.7</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70890"/>
                <wp:effectExtent l="0" t="0" r="0" b="0"/>
                <wp:wrapNone/>
                <wp:docPr id="107" name="Frame106"/>
                <a:graphic xmlns:a="http://schemas.openxmlformats.org/drawingml/2006/main">
                  <a:graphicData uri="http://schemas.microsoft.com/office/word/2010/wordprocessingShape">
                    <wps:wsp>
                      <wps:cNvSpPr txBox="1"/>
                      <wps:spPr>
                        <a:xfrm>
                          <a:off x="0" y="0"/>
                          <a:ext cx="6480175" cy="77089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12 of 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0.7pt;mso-wrap-distance-left:0pt;mso-wrap-distance-right:0pt;mso-wrap-distance-top:0pt;mso-wrap-distance-bottom:0pt;margin-top:0pt;mso-position-vertical:top;mso-position-vertical-relative:text;margin-left:-417.4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Amended &amp; Restated Employment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Patrick Murphy    </w:t>
                      </w:r>
                    </w:p>
                    <w:p>
                      <w:pPr>
                        <w:pStyle w:val="TextBody"/>
                        <w:bidi w:val="0"/>
                        <w:spacing w:lineRule="auto" w:line="240" w:before="0" w:after="0"/>
                        <w:jc w:val="right"/>
                        <w:rPr>
                          <w:color w:val="000000"/>
                        </w:rPr>
                      </w:pPr>
                      <w:r>
                        <w:rPr>
                          <w:color w:val="000000"/>
                        </w:rPr>
                        <w:t>    </w:t>
                      </w:r>
                      <w:r>
                        <w:rPr>
                          <w:rFonts w:ascii="Times New Roman;serif" w:hAnsi="Times New Roman;serif"/>
                          <w:b/>
                          <w:color w:val="000000"/>
                          <w:sz w:val="24"/>
                        </w:rPr>
                        <w:t>Page 12 of 12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5"/>
        </w:rPr>
      </w:pPr>
      <w:r>
        <w:rPr>
          <w:rFonts w:ascii="Times New Roman;serif" w:hAnsi="Times New Roman;serif"/>
          <w:b/>
          <w:color w:val="000000"/>
          <w:sz w:val="25"/>
        </w:rPr>
        <w:t>EMPLOYMENT AGREEMENT</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THIS EMPLOYMENT AGREEMENT dated as of July 7, 2025, is made by and between TransDigm Group Incorporated, a Delaware corporation (the “Company”), and Armani Vadiee (the “Executive”).</w:t>
      </w:r>
    </w:p>
    <w:p>
      <w:pPr>
        <w:pStyle w:val="TextBody"/>
        <w:bidi w:val="0"/>
        <w:spacing w:lineRule="auto" w:line="300" w:before="0" w:after="160"/>
        <w:jc w:val="center"/>
        <w:rPr>
          <w:rFonts w:ascii="Times New Roman;serif" w:hAnsi="Times New Roman;serif"/>
          <w:b/>
          <w:color w:val="000000"/>
          <w:sz w:val="25"/>
        </w:rPr>
      </w:pPr>
      <w:r>
        <w:rPr>
          <w:rFonts w:ascii="Times New Roman;serif" w:hAnsi="Times New Roman;serif"/>
          <w:b/>
          <w:color w:val="000000"/>
          <w:sz w:val="25"/>
        </w:rPr>
        <w:t>RECITALS:</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WHEREAS, the Executive is being promoted to the position of General Counsel, Chief Compliance Officer and Secretary of the Company; and</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WHEREAS, the parties would like to enter into an employment agreement on the terms and subject to the conditions set forth in this Agreement.</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NOW, THEREFORE, in consideration of the foregoing and of the respective covenants and agreements set forth below, the parties hereto agree as follows:</w:t>
      </w:r>
    </w:p>
    <w:p>
      <w:pPr>
        <w:pStyle w:val="TextBody"/>
        <w:bidi w:val="0"/>
        <w:spacing w:lineRule="auto" w:line="300" w:before="0" w:after="160"/>
        <w:ind w:left="0" w:right="0" w:hanging="360"/>
        <w:jc w:val="left"/>
        <w:rPr/>
      </w:pPr>
      <w:r>
        <w:rPr>
          <w:rFonts w:ascii="Times New Roman;serif" w:hAnsi="Times New Roman;serif"/>
          <w:b w:val="false"/>
          <w:color w:val="000000"/>
          <w:sz w:val="25"/>
        </w:rPr>
        <w:t>1.</w:t>
      </w:r>
      <w:r>
        <w:rPr>
          <w:rFonts w:ascii="Times New Roman;serif" w:hAnsi="Times New Roman;serif"/>
          <w:b w:val="false"/>
          <w:color w:val="000000"/>
          <w:sz w:val="25"/>
          <w:u w:val="single"/>
        </w:rPr>
        <w:t>Certain Definitions</w:t>
      </w:r>
      <w:r>
        <w:rPr>
          <w:rFonts w:ascii="Times New Roman;serif" w:hAnsi="Times New Roman;serif"/>
          <w:b w:val="false"/>
          <w:color w:val="000000"/>
          <w:sz w:val="25"/>
        </w:rPr>
        <w:t>.</w:t>
      </w:r>
    </w:p>
    <w:p>
      <w:pPr>
        <w:pStyle w:val="TextBody"/>
        <w:bidi w:val="0"/>
        <w:spacing w:lineRule="auto" w:line="300" w:before="0" w:after="120"/>
        <w:jc w:val="left"/>
        <w:rPr/>
      </w:pPr>
      <w:r>
        <w:rPr>
          <w:rFonts w:ascii="Times New Roman;serif" w:hAnsi="Times New Roman;serif"/>
          <w:b w:val="false"/>
          <w:color w:val="000000"/>
          <w:sz w:val="25"/>
        </w:rPr>
        <w:t>(a) “</w:t>
      </w:r>
      <w:r>
        <w:rPr>
          <w:rFonts w:ascii="Times New Roman;serif" w:hAnsi="Times New Roman;serif"/>
          <w:b w:val="false"/>
          <w:color w:val="000000"/>
          <w:sz w:val="25"/>
          <w:u w:val="single"/>
        </w:rPr>
        <w:t>Agreement</w:t>
      </w:r>
      <w:r>
        <w:rPr>
          <w:color w:val="000000"/>
        </w:rPr>
        <w:t xml:space="preserve">” </w:t>
      </w:r>
      <w:r>
        <w:rPr>
          <w:rFonts w:ascii="Times New Roman;serif" w:hAnsi="Times New Roman;serif"/>
          <w:b w:val="false"/>
          <w:color w:val="000000"/>
          <w:sz w:val="25"/>
        </w:rPr>
        <w:t>shall have the meaning set forth in the preamble hereto.</w:t>
      </w:r>
    </w:p>
    <w:p>
      <w:pPr>
        <w:pStyle w:val="TextBody"/>
        <w:bidi w:val="0"/>
        <w:spacing w:lineRule="auto" w:line="300" w:before="0" w:after="160"/>
        <w:jc w:val="left"/>
        <w:rPr/>
      </w:pPr>
      <w:r>
        <w:rPr>
          <w:rFonts w:ascii="Times New Roman;serif" w:hAnsi="Times New Roman;serif"/>
          <w:b w:val="false"/>
          <w:color w:val="000000"/>
          <w:sz w:val="25"/>
        </w:rPr>
        <w:t>(b) “</w:t>
      </w:r>
      <w:r>
        <w:rPr>
          <w:rFonts w:ascii="Times New Roman;serif" w:hAnsi="Times New Roman;serif"/>
          <w:b w:val="false"/>
          <w:color w:val="000000"/>
          <w:sz w:val="25"/>
          <w:u w:val="single"/>
        </w:rPr>
        <w:t>Annual Base Salary</w:t>
      </w:r>
      <w:r>
        <w:rPr>
          <w:color w:val="000000"/>
        </w:rPr>
        <w:t xml:space="preserve">” </w:t>
      </w:r>
      <w:r>
        <w:rPr>
          <w:rFonts w:ascii="Times New Roman;serif" w:hAnsi="Times New Roman;serif"/>
          <w:b w:val="false"/>
          <w:color w:val="000000"/>
          <w:sz w:val="25"/>
        </w:rPr>
        <w:t>shall have the meaning set forth in Section 4(a).</w:t>
      </w:r>
    </w:p>
    <w:p>
      <w:pPr>
        <w:pStyle w:val="TextBody"/>
        <w:bidi w:val="0"/>
        <w:spacing w:lineRule="auto" w:line="300" w:before="0" w:after="160"/>
        <w:jc w:val="left"/>
        <w:rPr/>
      </w:pPr>
      <w:r>
        <w:rPr>
          <w:rFonts w:ascii="Times New Roman;serif" w:hAnsi="Times New Roman;serif"/>
          <w:b w:val="false"/>
          <w:color w:val="000000"/>
          <w:sz w:val="25"/>
        </w:rPr>
        <w:t>(c) “</w:t>
      </w:r>
      <w:r>
        <w:rPr>
          <w:rFonts w:ascii="Times New Roman;serif" w:hAnsi="Times New Roman;serif"/>
          <w:b w:val="false"/>
          <w:color w:val="000000"/>
          <w:sz w:val="25"/>
          <w:u w:val="single"/>
        </w:rPr>
        <w:t>Board</w:t>
      </w:r>
      <w:r>
        <w:rPr>
          <w:color w:val="000000"/>
        </w:rPr>
        <w:t xml:space="preserve">” </w:t>
      </w:r>
      <w:r>
        <w:rPr>
          <w:rFonts w:ascii="Times New Roman;serif" w:hAnsi="Times New Roman;serif"/>
          <w:b w:val="false"/>
          <w:color w:val="000000"/>
          <w:sz w:val="25"/>
        </w:rPr>
        <w:t>shall mean the Board of Directors of the Company.</w:t>
      </w:r>
    </w:p>
    <w:p>
      <w:pPr>
        <w:pStyle w:val="TextBody"/>
        <w:bidi w:val="0"/>
        <w:spacing w:lineRule="auto" w:line="300" w:before="0" w:after="160"/>
        <w:jc w:val="left"/>
        <w:rPr/>
      </w:pPr>
      <w:r>
        <w:rPr>
          <w:rFonts w:ascii="Times New Roman;serif" w:hAnsi="Times New Roman;serif"/>
          <w:b w:val="false"/>
          <w:color w:val="000000"/>
          <w:sz w:val="25"/>
        </w:rPr>
        <w:t>(d) “</w:t>
      </w:r>
      <w:r>
        <w:rPr>
          <w:rFonts w:ascii="Times New Roman;serif" w:hAnsi="Times New Roman;serif"/>
          <w:b w:val="false"/>
          <w:color w:val="000000"/>
          <w:sz w:val="25"/>
          <w:u w:val="single"/>
        </w:rPr>
        <w:t>Cause</w:t>
      </w:r>
      <w:r>
        <w:rPr>
          <w:color w:val="000000"/>
        </w:rPr>
        <w:t xml:space="preserve">” </w:t>
      </w:r>
      <w:r>
        <w:rPr>
          <w:rFonts w:ascii="Times New Roman;serif" w:hAnsi="Times New Roman;serif"/>
          <w:b w:val="false"/>
          <w:color w:val="000000"/>
          <w:sz w:val="25"/>
        </w:rPr>
        <w:t>shall mean either of the following: (i) the repeated failure by the Executive, after written notice from the Board, substantially to perform the Executive’s material duties and responsibilities as an officer or employee or director of the Company or any of its subsidiaries (other than any such failure resulting from incapacity due to reasonably documented physical or mental illness), or (ii) any willful misconduct by the Executive that has the effect of materially injuring the business of the Company or any of its subsidiaries, including, without limitation, the disclosure of material secret or confidential information of the Company or any of its subsidiaries.</w:t>
      </w:r>
    </w:p>
    <w:p>
      <w:pPr>
        <w:pStyle w:val="TextBody"/>
        <w:bidi w:val="0"/>
        <w:spacing w:lineRule="auto" w:line="300" w:before="0" w:after="160"/>
        <w:jc w:val="left"/>
        <w:rPr/>
      </w:pPr>
      <w:r>
        <w:rPr>
          <w:rFonts w:ascii="Times New Roman;serif" w:hAnsi="Times New Roman;serif"/>
          <w:b w:val="false"/>
          <w:color w:val="000000"/>
          <w:sz w:val="25"/>
        </w:rPr>
        <w:t>(e) “</w:t>
      </w:r>
      <w:r>
        <w:rPr>
          <w:rFonts w:ascii="Times New Roman;serif" w:hAnsi="Times New Roman;serif"/>
          <w:b w:val="false"/>
          <w:color w:val="000000"/>
          <w:sz w:val="25"/>
          <w:u w:val="single"/>
        </w:rPr>
        <w:t>COBRA</w:t>
      </w:r>
      <w:r>
        <w:rPr>
          <w:color w:val="000000"/>
        </w:rPr>
        <w:t xml:space="preserve">” </w:t>
      </w:r>
      <w:r>
        <w:rPr>
          <w:rFonts w:ascii="Times New Roman;serif" w:hAnsi="Times New Roman;serif"/>
          <w:b w:val="false"/>
          <w:color w:val="000000"/>
          <w:sz w:val="25"/>
        </w:rPr>
        <w:t>shall mean the Consolidated Omnibus Budget Reconciliation Act of 1985, as may be amended from time to time.</w:t>
      </w:r>
    </w:p>
    <w:p>
      <w:pPr>
        <w:pStyle w:val="TextBody"/>
        <w:bidi w:val="0"/>
        <w:spacing w:lineRule="auto" w:line="300" w:before="0" w:after="160"/>
        <w:jc w:val="left"/>
        <w:rPr/>
      </w:pPr>
      <w:r>
        <w:rPr>
          <w:rFonts w:ascii="Times New Roman;serif" w:hAnsi="Times New Roman;serif"/>
          <w:b w:val="false"/>
          <w:color w:val="000000"/>
          <w:sz w:val="25"/>
        </w:rPr>
        <w:t>(f) “</w:t>
      </w:r>
      <w:r>
        <w:rPr>
          <w:rFonts w:ascii="Times New Roman;serif" w:hAnsi="Times New Roman;serif"/>
          <w:b w:val="false"/>
          <w:color w:val="000000"/>
          <w:sz w:val="25"/>
          <w:u w:val="single"/>
        </w:rPr>
        <w:t>Code</w:t>
      </w:r>
      <w:r>
        <w:rPr>
          <w:color w:val="000000"/>
        </w:rPr>
        <w:t xml:space="preserve">” </w:t>
      </w:r>
      <w:r>
        <w:rPr>
          <w:rFonts w:ascii="Times New Roman;serif" w:hAnsi="Times New Roman;serif"/>
          <w:b w:val="false"/>
          <w:color w:val="000000"/>
          <w:sz w:val="25"/>
        </w:rPr>
        <w:t>shall mean the Internal Revenue Code of 1986, as amended. Reference to a Section of the Code includes all rulings, regulations, notices, announcements, decisions, orders and other pronouncements that are issued by the United States Department of the Treasury, the Internal Revenue Service, or any court of competent jurisdiction that are lawful and pertinent to the interpretation, application or effectiveness of such Section.</w:t>
      </w:r>
    </w:p>
    <w:p>
      <w:pPr>
        <w:pStyle w:val="TextBody"/>
        <w:bidi w:val="0"/>
        <w:spacing w:lineRule="auto" w:line="300" w:before="0" w:after="160"/>
        <w:jc w:val="left"/>
        <w:rPr/>
      </w:pPr>
      <w:r>
        <w:rPr>
          <w:rFonts w:ascii="Times New Roman;serif" w:hAnsi="Times New Roman;serif"/>
          <w:b w:val="false"/>
          <w:color w:val="000000"/>
          <w:sz w:val="25"/>
        </w:rPr>
        <w:t>(g) “</w:t>
      </w:r>
      <w:r>
        <w:rPr>
          <w:rFonts w:ascii="Times New Roman;serif" w:hAnsi="Times New Roman;serif"/>
          <w:b w:val="false"/>
          <w:color w:val="000000"/>
          <w:sz w:val="25"/>
          <w:u w:val="single"/>
        </w:rPr>
        <w:t>Common Stock</w:t>
      </w:r>
      <w:r>
        <w:rPr>
          <w:color w:val="000000"/>
        </w:rPr>
        <w:t xml:space="preserve">” </w:t>
      </w:r>
      <w:r>
        <w:rPr>
          <w:rFonts w:ascii="Times New Roman;serif" w:hAnsi="Times New Roman;serif"/>
          <w:b w:val="false"/>
          <w:color w:val="000000"/>
          <w:sz w:val="25"/>
        </w:rPr>
        <w:t>shall mean the common stock of the Company, $0.01 par value per share.</w:t>
      </w:r>
    </w:p>
    <w:p>
      <w:pPr>
        <w:pStyle w:val="TextBody"/>
        <w:bidi w:val="0"/>
        <w:spacing w:lineRule="auto" w:line="300" w:before="0" w:after="160"/>
        <w:jc w:val="left"/>
        <w:rPr/>
      </w:pPr>
      <w:r>
        <w:rPr>
          <w:rFonts w:ascii="Times New Roman;serif" w:hAnsi="Times New Roman;serif"/>
          <w:b w:val="false"/>
          <w:color w:val="000000"/>
          <w:sz w:val="25"/>
        </w:rPr>
        <w:t>(h) “</w:t>
      </w:r>
      <w:r>
        <w:rPr>
          <w:rFonts w:ascii="Times New Roman;serif" w:hAnsi="Times New Roman;serif"/>
          <w:b w:val="false"/>
          <w:color w:val="000000"/>
          <w:sz w:val="25"/>
          <w:u w:val="single"/>
        </w:rPr>
        <w:t>Company</w:t>
      </w:r>
      <w:r>
        <w:rPr>
          <w:color w:val="000000"/>
        </w:rPr>
        <w:t xml:space="preserve">” </w:t>
      </w:r>
      <w:r>
        <w:rPr>
          <w:rFonts w:ascii="Times New Roman;serif" w:hAnsi="Times New Roman;serif"/>
          <w:b w:val="false"/>
          <w:color w:val="000000"/>
          <w:sz w:val="25"/>
        </w:rPr>
        <w:t>shall have the meaning set forth in the preamble hereto.</w:t>
      </w:r>
    </w:p>
    <w:p>
      <w:pPr>
        <w:pStyle w:val="TextBody"/>
        <w:bidi w:val="0"/>
        <w:spacing w:lineRule="auto" w:line="300" w:before="0" w:after="160"/>
        <w:jc w:val="left"/>
        <w:rPr>
          <w:color w:val="000000"/>
        </w:rPr>
      </w:pPr>
      <w:r>
        <w:rPr>
          <w:color w:val="000000"/>
        </w:rPr>
        <w:t>    </w:t>
      </w:r>
    </w:p>
    <w:p>
      <w:pPr>
        <w:pStyle w:val="TextBody"/>
        <w:bidi w:val="0"/>
        <w:spacing w:before="0" w:after="16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15010"/>
                <wp:effectExtent l="0" t="0" r="0" b="0"/>
                <wp:wrapNone/>
                <wp:docPr id="108" name="Frame107"/>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pPr>
      <w:r>
        <w:rPr>
          <w:rFonts w:ascii="Times New Roman;serif" w:hAnsi="Times New Roman;serif"/>
          <w:b w:val="false"/>
          <w:color w:val="000000"/>
          <w:sz w:val="25"/>
        </w:rPr>
        <w:t>(i) “</w:t>
      </w:r>
      <w:r>
        <w:rPr>
          <w:rFonts w:ascii="Times New Roman;serif" w:hAnsi="Times New Roman;serif"/>
          <w:b w:val="false"/>
          <w:color w:val="000000"/>
          <w:sz w:val="25"/>
          <w:u w:val="single"/>
        </w:rPr>
        <w:t>Compensation Committee</w:t>
      </w:r>
      <w:r>
        <w:rPr>
          <w:color w:val="000000"/>
        </w:rPr>
        <w:t xml:space="preserve">” </w:t>
      </w:r>
      <w:r>
        <w:rPr>
          <w:rFonts w:ascii="Times New Roman;serif" w:hAnsi="Times New Roman;serif"/>
          <w:b w:val="false"/>
          <w:color w:val="000000"/>
          <w:sz w:val="25"/>
        </w:rPr>
        <w:t>shall mean the Compensation Committee of the Board whose members shall be appointed by the Board from time to time.</w:t>
      </w:r>
    </w:p>
    <w:p>
      <w:pPr>
        <w:pStyle w:val="TextBody"/>
        <w:bidi w:val="0"/>
        <w:spacing w:lineRule="auto" w:line="300" w:before="0" w:after="160"/>
        <w:jc w:val="left"/>
        <w:rPr/>
      </w:pPr>
      <w:r>
        <w:rPr>
          <w:rFonts w:ascii="Times New Roman;serif" w:hAnsi="Times New Roman;serif"/>
          <w:b w:val="false"/>
          <w:color w:val="000000"/>
          <w:sz w:val="25"/>
        </w:rPr>
        <w:t>(j) “</w:t>
      </w:r>
      <w:r>
        <w:rPr>
          <w:rFonts w:ascii="Times New Roman;serif" w:hAnsi="Times New Roman;serif"/>
          <w:b w:val="false"/>
          <w:color w:val="000000"/>
          <w:sz w:val="25"/>
          <w:u w:val="single"/>
        </w:rPr>
        <w:t>Date of Termination</w:t>
      </w:r>
      <w:r>
        <w:rPr>
          <w:color w:val="000000"/>
        </w:rPr>
        <w:t xml:space="preserve">” </w:t>
      </w:r>
      <w:r>
        <w:rPr>
          <w:rFonts w:ascii="Times New Roman;serif" w:hAnsi="Times New Roman;serif"/>
          <w:b w:val="false"/>
          <w:color w:val="000000"/>
          <w:sz w:val="25"/>
        </w:rPr>
        <w:t>shall mean (i) if the Executive’s employment is terminated by reason of the Executive’s death, the date of the Executive’s death, and (ii) if the Executive’s employment is terminated pursuant to Sections 5(a)(ii) - (vi), the date specified in the Notice of Termination.</w:t>
      </w:r>
    </w:p>
    <w:p>
      <w:pPr>
        <w:pStyle w:val="TextBody"/>
        <w:bidi w:val="0"/>
        <w:spacing w:lineRule="auto" w:line="300" w:before="0" w:after="160"/>
        <w:jc w:val="left"/>
        <w:rPr/>
      </w:pPr>
      <w:r>
        <w:rPr>
          <w:rFonts w:ascii="Times New Roman;serif" w:hAnsi="Times New Roman;serif"/>
          <w:b w:val="false"/>
          <w:color w:val="000000"/>
          <w:sz w:val="25"/>
        </w:rPr>
        <w:t>(k) “</w:t>
      </w:r>
      <w:r>
        <w:rPr>
          <w:rFonts w:ascii="Times New Roman;serif" w:hAnsi="Times New Roman;serif"/>
          <w:b w:val="false"/>
          <w:color w:val="000000"/>
          <w:sz w:val="25"/>
          <w:u w:val="single"/>
        </w:rPr>
        <w:t>Disability</w:t>
      </w:r>
      <w:r>
        <w:rPr>
          <w:color w:val="000000"/>
        </w:rPr>
        <w:t xml:space="preserve">” </w:t>
      </w:r>
      <w:r>
        <w:rPr>
          <w:rFonts w:ascii="Times New Roman;serif" w:hAnsi="Times New Roman;serif"/>
          <w:b w:val="false"/>
          <w:color w:val="000000"/>
          <w:sz w:val="25"/>
        </w:rPr>
        <w:t>shall mean the Executive’s absence from employment with the Company due to: (i) the Executive’s inability to engage in any substantial gainful activity by reason of any medically determinable physical or mental impairment which can be expected to result in death or can be expected to last for a continuous period of not less than twelve months; or (ii) such medically determinable physical or mental impairment, which can be expected to result in death or can be expected to last for a continuous period of not less than twelve months, and for which the Executive is receiving income replacement benefits for a period of not less than three months under an accident and health plan covering the Company’s employees.</w:t>
      </w:r>
    </w:p>
    <w:p>
      <w:pPr>
        <w:pStyle w:val="TextBody"/>
        <w:bidi w:val="0"/>
        <w:spacing w:lineRule="auto" w:line="300" w:before="0" w:after="160"/>
        <w:jc w:val="left"/>
        <w:rPr/>
      </w:pPr>
      <w:r>
        <w:rPr>
          <w:rFonts w:ascii="Times New Roman;serif" w:hAnsi="Times New Roman;serif"/>
          <w:b w:val="false"/>
          <w:color w:val="000000"/>
          <w:sz w:val="25"/>
        </w:rPr>
        <w:t>(l) “</w:t>
      </w:r>
      <w:r>
        <w:rPr>
          <w:rFonts w:ascii="Times New Roman;serif" w:hAnsi="Times New Roman;serif"/>
          <w:b w:val="false"/>
          <w:color w:val="000000"/>
          <w:sz w:val="25"/>
          <w:u w:val="single"/>
        </w:rPr>
        <w:t>Effective Date</w:t>
      </w:r>
      <w:r>
        <w:rPr>
          <w:color w:val="000000"/>
        </w:rPr>
        <w:t xml:space="preserve">” </w:t>
      </w:r>
      <w:r>
        <w:rPr>
          <w:rFonts w:ascii="Times New Roman;serif" w:hAnsi="Times New Roman;serif"/>
          <w:b w:val="false"/>
          <w:color w:val="000000"/>
          <w:sz w:val="25"/>
        </w:rPr>
        <w:t>shall mean the date of this Agreement.</w:t>
      </w:r>
    </w:p>
    <w:p>
      <w:pPr>
        <w:pStyle w:val="TextBody"/>
        <w:bidi w:val="0"/>
        <w:spacing w:lineRule="auto" w:line="300" w:before="0" w:after="160"/>
        <w:jc w:val="left"/>
        <w:rPr/>
      </w:pPr>
      <w:r>
        <w:rPr>
          <w:rFonts w:ascii="Times New Roman;serif" w:hAnsi="Times New Roman;serif"/>
          <w:b w:val="false"/>
          <w:color w:val="000000"/>
          <w:sz w:val="25"/>
        </w:rPr>
        <w:t>(m) “</w:t>
      </w:r>
      <w:r>
        <w:rPr>
          <w:rFonts w:ascii="Times New Roman;serif" w:hAnsi="Times New Roman;serif"/>
          <w:b w:val="false"/>
          <w:color w:val="000000"/>
          <w:sz w:val="25"/>
          <w:u w:val="single"/>
        </w:rPr>
        <w:t>Equity Compensation Agreements</w:t>
      </w:r>
      <w:r>
        <w:rPr>
          <w:color w:val="000000"/>
        </w:rPr>
        <w:t xml:space="preserve">” </w:t>
      </w:r>
      <w:r>
        <w:rPr>
          <w:rFonts w:ascii="Times New Roman;serif" w:hAnsi="Times New Roman;serif"/>
          <w:b w:val="false"/>
          <w:color w:val="000000"/>
          <w:sz w:val="25"/>
        </w:rPr>
        <w:t>shall mean any written agreements between the Company and the Executive pursuant to which the Executive holds or is granted options to purchase Common Stock, including, without limitation, agreements evidencing options granted under any option plan adopted or maintained by the Company for employees generally, and any management deferred compensation or similar plans of the Company.</w:t>
      </w:r>
    </w:p>
    <w:p>
      <w:pPr>
        <w:pStyle w:val="TextBody"/>
        <w:bidi w:val="0"/>
        <w:spacing w:lineRule="auto" w:line="300" w:before="0" w:after="160"/>
        <w:jc w:val="left"/>
        <w:rPr/>
      </w:pPr>
      <w:r>
        <w:rPr>
          <w:rFonts w:ascii="Times New Roman;serif" w:hAnsi="Times New Roman;serif"/>
          <w:b w:val="false"/>
          <w:color w:val="000000"/>
          <w:sz w:val="25"/>
        </w:rPr>
        <w:t>(n) “</w:t>
      </w:r>
      <w:r>
        <w:rPr>
          <w:rFonts w:ascii="Times New Roman;serif" w:hAnsi="Times New Roman;serif"/>
          <w:b w:val="false"/>
          <w:color w:val="000000"/>
          <w:sz w:val="25"/>
          <w:u w:val="single"/>
        </w:rPr>
        <w:t>Exchange Act</w:t>
      </w:r>
      <w:r>
        <w:rPr>
          <w:color w:val="000000"/>
        </w:rPr>
        <w:t xml:space="preserve">” </w:t>
      </w:r>
      <w:r>
        <w:rPr>
          <w:rFonts w:ascii="Times New Roman;serif" w:hAnsi="Times New Roman;serif"/>
          <w:b w:val="false"/>
          <w:color w:val="000000"/>
          <w:sz w:val="25"/>
        </w:rPr>
        <w:t>shall mean the Securities Exchange Act of 1934, as amended.</w:t>
      </w:r>
    </w:p>
    <w:p>
      <w:pPr>
        <w:pStyle w:val="TextBody"/>
        <w:bidi w:val="0"/>
        <w:spacing w:lineRule="auto" w:line="300" w:before="0" w:after="160"/>
        <w:jc w:val="left"/>
        <w:rPr/>
      </w:pPr>
      <w:r>
        <w:rPr>
          <w:rFonts w:ascii="Times New Roman;serif" w:hAnsi="Times New Roman;serif"/>
          <w:b w:val="false"/>
          <w:color w:val="000000"/>
          <w:sz w:val="25"/>
        </w:rPr>
        <w:t>(o) “</w:t>
      </w:r>
      <w:r>
        <w:rPr>
          <w:rFonts w:ascii="Times New Roman;serif" w:hAnsi="Times New Roman;serif"/>
          <w:b w:val="false"/>
          <w:color w:val="000000"/>
          <w:sz w:val="25"/>
          <w:u w:val="single"/>
        </w:rPr>
        <w:t>Executive</w:t>
      </w:r>
      <w:r>
        <w:rPr>
          <w:color w:val="000000"/>
        </w:rPr>
        <w:t xml:space="preserve">” </w:t>
      </w:r>
      <w:r>
        <w:rPr>
          <w:rFonts w:ascii="Times New Roman;serif" w:hAnsi="Times New Roman;serif"/>
          <w:b w:val="false"/>
          <w:color w:val="000000"/>
          <w:sz w:val="25"/>
        </w:rPr>
        <w:t>shall have the meaning set forth in the preamble hereto.</w:t>
      </w:r>
    </w:p>
    <w:p>
      <w:pPr>
        <w:pStyle w:val="TextBody"/>
        <w:bidi w:val="0"/>
        <w:spacing w:lineRule="auto" w:line="300" w:before="0" w:after="160"/>
        <w:jc w:val="left"/>
        <w:rPr/>
      </w:pPr>
      <w:r>
        <w:rPr>
          <w:rFonts w:ascii="Times New Roman;serif" w:hAnsi="Times New Roman;serif"/>
          <w:b w:val="false"/>
          <w:color w:val="000000"/>
          <w:sz w:val="25"/>
        </w:rPr>
        <w:t>(p) “</w:t>
      </w:r>
      <w:r>
        <w:rPr>
          <w:rFonts w:ascii="Times New Roman;serif" w:hAnsi="Times New Roman;serif"/>
          <w:b w:val="false"/>
          <w:color w:val="000000"/>
          <w:sz w:val="25"/>
          <w:u w:val="single"/>
        </w:rPr>
        <w:t>Good Reason</w:t>
      </w:r>
      <w:r>
        <w:rPr>
          <w:color w:val="000000"/>
        </w:rPr>
        <w:t xml:space="preserve">” </w:t>
      </w:r>
      <w:r>
        <w:rPr>
          <w:rFonts w:ascii="Times New Roman;serif" w:hAnsi="Times New Roman;serif"/>
          <w:b w:val="false"/>
          <w:color w:val="000000"/>
          <w:sz w:val="25"/>
        </w:rPr>
        <w:t>shall mean the occurrence of any of the following: (i) a material diminution in the Executive’s title, duties or responsibilities, without the Executive’s prior written consent, or (ii) a reduction of the Executive’s aggregate cash compensation (including bonus opportunities), benefits or perquisites, without the Executive’s prior written consent, or (iii) any material breach of this Agreement by the Company.</w:t>
      </w:r>
    </w:p>
    <w:p>
      <w:pPr>
        <w:pStyle w:val="TextBody"/>
        <w:bidi w:val="0"/>
        <w:spacing w:lineRule="auto" w:line="300" w:before="0" w:after="120"/>
        <w:jc w:val="left"/>
        <w:rPr/>
      </w:pPr>
      <w:r>
        <w:rPr>
          <w:rFonts w:ascii="Times New Roman;serif" w:hAnsi="Times New Roman;serif"/>
          <w:b w:val="false"/>
          <w:color w:val="000000"/>
          <w:sz w:val="25"/>
        </w:rPr>
        <w:t>(q) “</w:t>
      </w:r>
      <w:r>
        <w:rPr>
          <w:rFonts w:ascii="Times New Roman;serif" w:hAnsi="Times New Roman;serif"/>
          <w:b w:val="false"/>
          <w:color w:val="000000"/>
          <w:sz w:val="25"/>
          <w:u w:val="single"/>
        </w:rPr>
        <w:t>Monthly COBRA Coverage Continuation Rate</w:t>
      </w:r>
      <w:r>
        <w:rPr>
          <w:color w:val="000000"/>
        </w:rPr>
        <w:t xml:space="preserve">” </w:t>
      </w:r>
      <w:r>
        <w:rPr>
          <w:rFonts w:ascii="Times New Roman;serif" w:hAnsi="Times New Roman;serif"/>
          <w:b w:val="false"/>
          <w:color w:val="000000"/>
          <w:sz w:val="25"/>
        </w:rPr>
        <w:t>shall have the meaning set forth in Section 6(a).</w:t>
      </w:r>
    </w:p>
    <w:p>
      <w:pPr>
        <w:pStyle w:val="TextBody"/>
        <w:bidi w:val="0"/>
        <w:spacing w:lineRule="auto" w:line="300" w:before="0" w:after="160"/>
        <w:jc w:val="left"/>
        <w:rPr/>
      </w:pPr>
      <w:r>
        <w:rPr>
          <w:rFonts w:ascii="Times New Roman;serif" w:hAnsi="Times New Roman;serif"/>
          <w:b w:val="false"/>
          <w:color w:val="000000"/>
          <w:sz w:val="25"/>
        </w:rPr>
        <w:t>(r) “</w:t>
      </w:r>
      <w:r>
        <w:rPr>
          <w:rFonts w:ascii="Times New Roman;serif" w:hAnsi="Times New Roman;serif"/>
          <w:b w:val="false"/>
          <w:color w:val="000000"/>
          <w:sz w:val="25"/>
          <w:u w:val="single"/>
        </w:rPr>
        <w:t>Notice of Termination</w:t>
      </w:r>
      <w:r>
        <w:rPr>
          <w:color w:val="000000"/>
        </w:rPr>
        <w:t xml:space="preserve">” </w:t>
      </w:r>
      <w:r>
        <w:rPr>
          <w:rFonts w:ascii="Times New Roman;serif" w:hAnsi="Times New Roman;serif"/>
          <w:b w:val="false"/>
          <w:color w:val="000000"/>
          <w:sz w:val="25"/>
        </w:rPr>
        <w:t>shall have the meaning set forth in Section 5(b).</w:t>
      </w:r>
    </w:p>
    <w:p>
      <w:pPr>
        <w:pStyle w:val="TextBody"/>
        <w:bidi w:val="0"/>
        <w:spacing w:lineRule="auto" w:line="300" w:before="0" w:after="160"/>
        <w:jc w:val="left"/>
        <w:rPr/>
      </w:pPr>
      <w:r>
        <w:rPr>
          <w:rFonts w:ascii="Times New Roman;serif" w:hAnsi="Times New Roman;serif"/>
          <w:b w:val="false"/>
          <w:color w:val="000000"/>
          <w:sz w:val="25"/>
        </w:rPr>
        <w:t>(s) “</w:t>
      </w:r>
      <w:r>
        <w:rPr>
          <w:rFonts w:ascii="Times New Roman;serif" w:hAnsi="Times New Roman;serif"/>
          <w:b w:val="false"/>
          <w:color w:val="000000"/>
          <w:sz w:val="25"/>
          <w:u w:val="single"/>
        </w:rPr>
        <w:t>Payment Period</w:t>
      </w:r>
      <w:r>
        <w:rPr>
          <w:color w:val="000000"/>
        </w:rPr>
        <w:t xml:space="preserve">” </w:t>
      </w:r>
      <w:r>
        <w:rPr>
          <w:rFonts w:ascii="Times New Roman;serif" w:hAnsi="Times New Roman;serif"/>
          <w:b w:val="false"/>
          <w:color w:val="000000"/>
          <w:sz w:val="25"/>
        </w:rPr>
        <w:t>shall have the meaning set forth in Section 6(b).</w:t>
      </w:r>
    </w:p>
    <w:p>
      <w:pPr>
        <w:pStyle w:val="TextBody"/>
        <w:bidi w:val="0"/>
        <w:spacing w:lineRule="auto" w:line="300" w:before="0" w:after="160"/>
        <w:jc w:val="left"/>
        <w:rPr/>
      </w:pPr>
      <w:r>
        <w:rPr>
          <w:rFonts w:ascii="Times New Roman;serif" w:hAnsi="Times New Roman;serif"/>
          <w:b w:val="false"/>
          <w:color w:val="000000"/>
          <w:sz w:val="25"/>
        </w:rPr>
        <w:t>(t) “</w:t>
      </w:r>
      <w:r>
        <w:rPr>
          <w:rFonts w:ascii="Times New Roman;serif" w:hAnsi="Times New Roman;serif"/>
          <w:b w:val="false"/>
          <w:color w:val="000000"/>
          <w:sz w:val="25"/>
          <w:u w:val="single"/>
        </w:rPr>
        <w:t>Specified Employee</w:t>
      </w:r>
      <w:r>
        <w:rPr>
          <w:color w:val="000000"/>
        </w:rPr>
        <w:t xml:space="preserve">” </w:t>
      </w:r>
      <w:r>
        <w:rPr>
          <w:rFonts w:ascii="Times New Roman;serif" w:hAnsi="Times New Roman;serif"/>
          <w:b w:val="false"/>
          <w:color w:val="000000"/>
          <w:sz w:val="25"/>
        </w:rPr>
        <w:t>shall have the meaning set forth in Code Section 409A</w:t>
      </w:r>
    </w:p>
    <w:p>
      <w:pPr>
        <w:pStyle w:val="TextBody"/>
        <w:bidi w:val="0"/>
        <w:spacing w:lineRule="auto" w:line="300" w:before="0" w:after="160"/>
        <w:jc w:val="left"/>
        <w:rPr/>
      </w:pPr>
      <w:r>
        <w:rPr>
          <w:rFonts w:ascii="Times New Roman;serif" w:hAnsi="Times New Roman;serif"/>
          <w:b w:val="false"/>
          <w:color w:val="000000"/>
          <w:sz w:val="25"/>
        </w:rPr>
        <w:t>(u) “</w:t>
      </w:r>
      <w:r>
        <w:rPr>
          <w:rFonts w:ascii="Times New Roman;serif" w:hAnsi="Times New Roman;serif"/>
          <w:b w:val="false"/>
          <w:color w:val="000000"/>
          <w:sz w:val="25"/>
          <w:u w:val="single"/>
        </w:rPr>
        <w:t>Term</w:t>
      </w:r>
      <w:r>
        <w:rPr>
          <w:color w:val="000000"/>
        </w:rPr>
        <w:t xml:space="preserve">” </w:t>
      </w:r>
      <w:r>
        <w:rPr>
          <w:rFonts w:ascii="Times New Roman;serif" w:hAnsi="Times New Roman;serif"/>
          <w:b w:val="false"/>
          <w:color w:val="000000"/>
          <w:sz w:val="25"/>
        </w:rPr>
        <w:t>shall have the meaning set forth in Section 2.</w:t>
      </w:r>
    </w:p>
    <w:p>
      <w:pPr>
        <w:pStyle w:val="TextBody"/>
        <w:bidi w:val="0"/>
        <w:spacing w:lineRule="auto" w:line="300" w:before="0" w:after="160"/>
        <w:jc w:val="left"/>
        <w:rPr/>
      </w:pPr>
      <w:r>
        <w:rPr>
          <w:rFonts w:ascii="Times New Roman;serif" w:hAnsi="Times New Roman;serif"/>
          <w:b w:val="false"/>
          <w:color w:val="000000"/>
          <w:sz w:val="25"/>
        </w:rPr>
        <w:t>2. </w:t>
      </w:r>
      <w:r>
        <w:rPr>
          <w:rFonts w:ascii="Times New Roman;serif" w:hAnsi="Times New Roman;serif"/>
          <w:b w:val="false"/>
          <w:color w:val="000000"/>
          <w:sz w:val="25"/>
          <w:u w:val="single"/>
        </w:rPr>
        <w:t>Employment</w:t>
      </w:r>
      <w:r>
        <w:rPr>
          <w:rFonts w:ascii="Times New Roman;serif" w:hAnsi="Times New Roman;serif"/>
          <w:b w:val="false"/>
          <w:color w:val="000000"/>
          <w:sz w:val="25"/>
        </w:rPr>
        <w:t xml:space="preserve">. The Company shall employ the Executive, for the period set forth in this Section 2, in the position(s) set forth in Section 3 and upon the other terms and conditions </w:t>
      </w:r>
    </w:p>
    <w:p>
      <w:pPr>
        <w:pStyle w:val="TextBody"/>
        <w:bidi w:val="0"/>
        <w:spacing w:before="0" w:after="16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15010"/>
                <wp:effectExtent l="0" t="0" r="0" b="0"/>
                <wp:wrapNone/>
                <wp:docPr id="109" name="Frame108"/>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2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2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herein provided. The term of employment under this Agreement (the “Term”) shall be for the period beginning on the Effective Date and ending on September 30, 2030 unless earlier terminated as provided in Section 5.</w:t>
      </w:r>
    </w:p>
    <w:p>
      <w:pPr>
        <w:pStyle w:val="TextBody"/>
        <w:bidi w:val="0"/>
        <w:spacing w:lineRule="auto" w:line="300" w:before="0" w:after="160"/>
        <w:jc w:val="left"/>
        <w:rPr/>
      </w:pPr>
      <w:r>
        <w:rPr>
          <w:rFonts w:ascii="Times New Roman;serif" w:hAnsi="Times New Roman;serif"/>
          <w:b w:val="false"/>
          <w:color w:val="000000"/>
          <w:sz w:val="25"/>
        </w:rPr>
        <w:t>3. </w:t>
      </w:r>
      <w:r>
        <w:rPr>
          <w:rFonts w:ascii="Times New Roman;serif" w:hAnsi="Times New Roman;serif"/>
          <w:b w:val="false"/>
          <w:color w:val="000000"/>
          <w:sz w:val="25"/>
          <w:u w:val="single"/>
        </w:rPr>
        <w:t>Position and Duties</w:t>
      </w:r>
      <w:r>
        <w:rPr>
          <w:rFonts w:ascii="Times New Roman;serif" w:hAnsi="Times New Roman;serif"/>
          <w:b w:val="false"/>
          <w:color w:val="000000"/>
          <w:sz w:val="25"/>
        </w:rPr>
        <w:t>. During the Term, the Executive shall serve as General Counsel, Chief Compliance Officer and Secretary of each of the Company and its subsidiary, TransDigm, Inc. (“TransDigm”), with such customary responsibilities, duties and authority as may from time to time be assigned to the Executive by the Chief Executive Officer. During the Term, the Executive shall devote substantially all of the Executive’s working time and efforts to the business and affairs of the Company and TransDigm; provided, that it shall not be considered a violation of the foregoing for the Executive to (a) with the prior consent of the Board (which consent shall not unreasonably be withheld), serve on corporate, industry, civic or charitable boards or committees, and (b) manage the Executive’s personal investments, so long as none of such activities significantly interferes with the Executive’s duties hereunder.</w:t>
      </w:r>
    </w:p>
    <w:p>
      <w:pPr>
        <w:pStyle w:val="TextBody"/>
        <w:bidi w:val="0"/>
        <w:spacing w:lineRule="auto" w:line="300" w:before="0" w:after="160"/>
        <w:jc w:val="left"/>
        <w:rPr/>
      </w:pPr>
      <w:r>
        <w:rPr>
          <w:rFonts w:ascii="Times New Roman;serif" w:hAnsi="Times New Roman;serif"/>
          <w:b w:val="false"/>
          <w:color w:val="000000"/>
          <w:sz w:val="25"/>
        </w:rPr>
        <w:t>4. </w:t>
      </w:r>
      <w:r>
        <w:rPr>
          <w:rFonts w:ascii="Times New Roman;serif" w:hAnsi="Times New Roman;serif"/>
          <w:b w:val="false"/>
          <w:color w:val="000000"/>
          <w:sz w:val="25"/>
          <w:u w:val="single"/>
        </w:rPr>
        <w:t>Compensation and Related Matters</w:t>
      </w:r>
      <w:r>
        <w:rPr>
          <w:rFonts w:ascii="Times New Roman;serif" w:hAnsi="Times New Roman;serif"/>
          <w:b w:val="false"/>
          <w:color w:val="000000"/>
          <w:sz w:val="25"/>
        </w:rPr>
        <w:t>.</w:t>
      </w:r>
    </w:p>
    <w:p>
      <w:pPr>
        <w:pStyle w:val="TextBody"/>
        <w:bidi w:val="0"/>
        <w:spacing w:lineRule="auto" w:line="300" w:before="0" w:after="160"/>
        <w:jc w:val="left"/>
        <w:rPr/>
      </w:pPr>
      <w:r>
        <w:rPr>
          <w:rFonts w:ascii="Times New Roman;serif" w:hAnsi="Times New Roman;serif"/>
          <w:b w:val="false"/>
          <w:color w:val="000000"/>
          <w:sz w:val="25"/>
        </w:rPr>
        <w:t>(a) </w:t>
      </w:r>
      <w:r>
        <w:rPr>
          <w:rFonts w:ascii="Times New Roman;serif" w:hAnsi="Times New Roman;serif"/>
          <w:b w:val="false"/>
          <w:color w:val="000000"/>
          <w:sz w:val="25"/>
          <w:u w:val="single"/>
        </w:rPr>
        <w:t>Annual Base Salary</w:t>
      </w:r>
      <w:r>
        <w:rPr>
          <w:rFonts w:ascii="Times New Roman;serif" w:hAnsi="Times New Roman;serif"/>
          <w:b w:val="false"/>
          <w:color w:val="000000"/>
          <w:sz w:val="25"/>
        </w:rPr>
        <w:t>. From and after July 7, 2025, the Executive shall receive a base salary at a rate of $700,000 per annum, payable in accordance with the Company’s normal payroll practices, which shall be reviewed by the Compensation Committee annually and may be increased, but not decreased, upon such review (the “Annual Base Salary”).</w:t>
      </w:r>
    </w:p>
    <w:p>
      <w:pPr>
        <w:pStyle w:val="TextBody"/>
        <w:bidi w:val="0"/>
        <w:spacing w:lineRule="auto" w:line="300" w:before="0" w:after="160"/>
        <w:jc w:val="left"/>
        <w:rPr/>
      </w:pPr>
      <w:r>
        <w:rPr>
          <w:rFonts w:ascii="Times New Roman;serif" w:hAnsi="Times New Roman;serif"/>
          <w:b w:val="false"/>
          <w:color w:val="000000"/>
          <w:sz w:val="25"/>
        </w:rPr>
        <w:t>(b) </w:t>
      </w:r>
      <w:r>
        <w:rPr>
          <w:rFonts w:ascii="Times New Roman;serif" w:hAnsi="Times New Roman;serif"/>
          <w:b w:val="false"/>
          <w:color w:val="000000"/>
          <w:sz w:val="25"/>
          <w:u w:val="single"/>
        </w:rPr>
        <w:t>Bonus</w:t>
      </w:r>
      <w:r>
        <w:rPr>
          <w:rFonts w:ascii="Times New Roman;serif" w:hAnsi="Times New Roman;serif"/>
          <w:b w:val="false"/>
          <w:color w:val="000000"/>
          <w:sz w:val="25"/>
        </w:rPr>
        <w:t>. For each fiscal year during the Term, the Executive shall be eligible to participate in the Company’s annual cash bonus plan in accordance with terms and provisions which shall be consistent with the Company’s executive bonus policy in effect as of the date hereof. The Executive’s target bonus for fiscal year 2025 and thereafter will be 65% of the Executive’s Annual Base Salary and may be pro rated based on time in position, and may be increased, but not decreased, from time to time.</w:t>
      </w:r>
    </w:p>
    <w:p>
      <w:pPr>
        <w:pStyle w:val="TextBody"/>
        <w:bidi w:val="0"/>
        <w:spacing w:lineRule="auto" w:line="300" w:before="0" w:after="160"/>
        <w:jc w:val="left"/>
        <w:rPr/>
      </w:pPr>
      <w:r>
        <w:rPr>
          <w:rFonts w:ascii="Times New Roman;serif" w:hAnsi="Times New Roman;serif"/>
          <w:b w:val="false"/>
          <w:color w:val="000000"/>
          <w:sz w:val="25"/>
        </w:rPr>
        <w:t>(c) </w:t>
      </w:r>
      <w:r>
        <w:rPr>
          <w:rFonts w:ascii="Times New Roman;serif" w:hAnsi="Times New Roman;serif"/>
          <w:b w:val="false"/>
          <w:color w:val="000000"/>
          <w:sz w:val="25"/>
          <w:u w:val="single"/>
        </w:rPr>
        <w:t>Non-Qualified Deferred Compensation</w:t>
      </w:r>
      <w:r>
        <w:rPr>
          <w:rFonts w:ascii="Times New Roman;serif" w:hAnsi="Times New Roman;serif"/>
          <w:b w:val="false"/>
          <w:color w:val="000000"/>
          <w:sz w:val="25"/>
        </w:rPr>
        <w:t>. During the Term, the Executive shall be eligible to participate in any non-qualified deferred compensation plan or program (if any) offered by the Company to its executives.</w:t>
      </w:r>
    </w:p>
    <w:p>
      <w:pPr>
        <w:pStyle w:val="TextBody"/>
        <w:bidi w:val="0"/>
        <w:spacing w:lineRule="auto" w:line="300" w:before="0" w:after="160"/>
        <w:jc w:val="left"/>
        <w:rPr/>
      </w:pPr>
      <w:r>
        <w:rPr>
          <w:rFonts w:ascii="Times New Roman;serif" w:hAnsi="Times New Roman;serif"/>
          <w:b w:val="false"/>
          <w:color w:val="000000"/>
          <w:sz w:val="25"/>
        </w:rPr>
        <w:t>(d) </w:t>
      </w:r>
      <w:r>
        <w:rPr>
          <w:rFonts w:ascii="Times New Roman;serif" w:hAnsi="Times New Roman;serif"/>
          <w:b w:val="false"/>
          <w:color w:val="000000"/>
          <w:sz w:val="25"/>
          <w:u w:val="single"/>
        </w:rPr>
        <w:t>Long Term Incentive Compensation</w:t>
      </w:r>
      <w:r>
        <w:rPr>
          <w:rFonts w:ascii="Times New Roman;serif" w:hAnsi="Times New Roman;serif"/>
          <w:b w:val="false"/>
          <w:color w:val="000000"/>
          <w:sz w:val="25"/>
        </w:rPr>
        <w:t>. During the Term, the Executive shall be entitled to participate in the Option Plan or any successor plan thereto.</w:t>
      </w:r>
    </w:p>
    <w:p>
      <w:pPr>
        <w:pStyle w:val="TextBody"/>
        <w:bidi w:val="0"/>
        <w:spacing w:lineRule="auto" w:line="300" w:before="0" w:after="160"/>
        <w:jc w:val="left"/>
        <w:rPr/>
      </w:pPr>
      <w:r>
        <w:rPr>
          <w:rFonts w:ascii="Times New Roman;serif" w:hAnsi="Times New Roman;serif"/>
          <w:b w:val="false"/>
          <w:color w:val="000000"/>
          <w:sz w:val="25"/>
        </w:rPr>
        <w:t>(e) </w:t>
      </w:r>
      <w:r>
        <w:rPr>
          <w:rFonts w:ascii="Times New Roman;serif" w:hAnsi="Times New Roman;serif"/>
          <w:b w:val="false"/>
          <w:color w:val="000000"/>
          <w:sz w:val="25"/>
          <w:u w:val="single"/>
        </w:rPr>
        <w:t>Benefits</w:t>
      </w:r>
      <w:r>
        <w:rPr>
          <w:rFonts w:ascii="Times New Roman;serif" w:hAnsi="Times New Roman;serif"/>
          <w:b w:val="false"/>
          <w:color w:val="000000"/>
          <w:sz w:val="25"/>
        </w:rPr>
        <w:t xml:space="preserve">. During the Term, the Executive shall be entitled to participate in the other employee benefit plans, programs and arrangements of the Company now (or, to the extent determined by the Board or Compensation Committee, hereafter) in effect which are applicable to the senior officers of the Company generally, subject to and on a basis consistent with the terms, conditions and overall administration thereof (including the right of the Company to amend, modify or terminate such plans, programs and arrangements). </w:t>
      </w:r>
    </w:p>
    <w:p>
      <w:pPr>
        <w:pStyle w:val="TextBody"/>
        <w:bidi w:val="0"/>
        <w:spacing w:before="0" w:after="16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15010"/>
                <wp:effectExtent l="0" t="0" r="0" b="0"/>
                <wp:wrapNone/>
                <wp:docPr id="110" name="Frame109"/>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3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3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pPr>
      <w:r>
        <w:rPr>
          <w:rFonts w:ascii="Times New Roman;serif" w:hAnsi="Times New Roman;serif"/>
          <w:b w:val="false"/>
          <w:color w:val="000000"/>
          <w:sz w:val="25"/>
        </w:rPr>
        <w:t>(f) </w:t>
      </w:r>
      <w:r>
        <w:rPr>
          <w:rFonts w:ascii="Times New Roman;serif" w:hAnsi="Times New Roman;serif"/>
          <w:b w:val="false"/>
          <w:color w:val="000000"/>
          <w:sz w:val="25"/>
          <w:u w:val="single"/>
        </w:rPr>
        <w:t>Expenses</w:t>
      </w:r>
      <w:r>
        <w:rPr>
          <w:rFonts w:ascii="Times New Roman;serif" w:hAnsi="Times New Roman;serif"/>
          <w:b w:val="false"/>
          <w:color w:val="000000"/>
          <w:sz w:val="25"/>
        </w:rPr>
        <w:t>. Pursuant to the Company’s customary policies in force at the time of payment, the Executive shall be reimbursed for all expenses properly incurred by the Executive on the Company’s behalf in the performance of the Executive’s duties hereunder.</w:t>
      </w:r>
    </w:p>
    <w:p>
      <w:pPr>
        <w:pStyle w:val="TextBody"/>
        <w:bidi w:val="0"/>
        <w:spacing w:lineRule="auto" w:line="300" w:before="0" w:after="160"/>
        <w:jc w:val="left"/>
        <w:rPr/>
      </w:pPr>
      <w:r>
        <w:rPr>
          <w:rFonts w:ascii="Times New Roman;serif" w:hAnsi="Times New Roman;serif"/>
          <w:b w:val="false"/>
          <w:color w:val="000000"/>
          <w:sz w:val="25"/>
        </w:rPr>
        <w:t>(g) </w:t>
      </w:r>
      <w:r>
        <w:rPr>
          <w:rFonts w:ascii="Times New Roman;serif" w:hAnsi="Times New Roman;serif"/>
          <w:b w:val="false"/>
          <w:color w:val="000000"/>
          <w:sz w:val="25"/>
          <w:u w:val="single"/>
        </w:rPr>
        <w:t>Vacation</w:t>
      </w:r>
      <w:r>
        <w:rPr>
          <w:rFonts w:ascii="Times New Roman;serif" w:hAnsi="Times New Roman;serif"/>
          <w:b w:val="false"/>
          <w:color w:val="000000"/>
          <w:sz w:val="25"/>
        </w:rPr>
        <w:t>. The Executive shall be entitled to an amount of annual vacation days, and to compensation in respect of earned but unused vacation days in accordance with the Company’s vacation policy as in effect as of the Effective Date. The Executive shall also be entitled to paid holidays in accordance with the Company’s practices with respect to same as in effect as of the Effective Date.</w:t>
      </w:r>
    </w:p>
    <w:p>
      <w:pPr>
        <w:pStyle w:val="TextBody"/>
        <w:bidi w:val="0"/>
        <w:spacing w:lineRule="auto" w:line="300" w:before="0" w:after="160"/>
        <w:jc w:val="left"/>
        <w:rPr/>
      </w:pPr>
      <w:r>
        <w:rPr>
          <w:rFonts w:ascii="Times New Roman;serif" w:hAnsi="Times New Roman;serif"/>
          <w:b w:val="false"/>
          <w:color w:val="000000"/>
          <w:sz w:val="25"/>
        </w:rPr>
        <w:t>5. </w:t>
      </w:r>
      <w:r>
        <w:rPr>
          <w:rFonts w:ascii="Times New Roman;serif" w:hAnsi="Times New Roman;serif"/>
          <w:b w:val="false"/>
          <w:color w:val="000000"/>
          <w:sz w:val="25"/>
          <w:u w:val="single"/>
        </w:rPr>
        <w:t>Termination</w:t>
      </w:r>
      <w:r>
        <w:rPr>
          <w:rFonts w:ascii="Times New Roman;serif" w:hAnsi="Times New Roman;serif"/>
          <w:b w:val="false"/>
          <w:color w:val="000000"/>
          <w:sz w:val="25"/>
        </w:rPr>
        <w:t>.</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(a) The Executive’s employment hereunder may be terminated by the Company or the Executive, as applicable, without any breach of this Agreement only under the following circumstances and in accordance with subsection (b):</w:t>
      </w:r>
    </w:p>
    <w:p>
      <w:pPr>
        <w:pStyle w:val="TextBody"/>
        <w:bidi w:val="0"/>
        <w:spacing w:lineRule="auto" w:line="300" w:before="0" w:after="160"/>
        <w:jc w:val="left"/>
        <w:rPr/>
      </w:pPr>
      <w:r>
        <w:rPr>
          <w:rFonts w:ascii="Times New Roman;serif" w:hAnsi="Times New Roman;serif"/>
          <w:b w:val="false"/>
          <w:color w:val="000000"/>
          <w:sz w:val="25"/>
        </w:rPr>
        <w:t>(i) </w:t>
      </w:r>
      <w:r>
        <w:rPr>
          <w:rFonts w:ascii="Times New Roman;serif" w:hAnsi="Times New Roman;serif"/>
          <w:b w:val="false"/>
          <w:color w:val="000000"/>
          <w:sz w:val="25"/>
          <w:u w:val="single"/>
        </w:rPr>
        <w:t>Death</w:t>
      </w:r>
      <w:r>
        <w:rPr>
          <w:rFonts w:ascii="Times New Roman;serif" w:hAnsi="Times New Roman;serif"/>
          <w:b w:val="false"/>
          <w:color w:val="000000"/>
          <w:sz w:val="25"/>
        </w:rPr>
        <w:t>. The Executive’s employment hereunder shall terminate upon the Executive’s death.</w:t>
      </w:r>
    </w:p>
    <w:p>
      <w:pPr>
        <w:pStyle w:val="TextBody"/>
        <w:bidi w:val="0"/>
        <w:spacing w:lineRule="auto" w:line="300" w:before="0" w:after="160"/>
        <w:jc w:val="left"/>
        <w:rPr/>
      </w:pPr>
      <w:r>
        <w:rPr>
          <w:rFonts w:ascii="Times New Roman;serif" w:hAnsi="Times New Roman;serif"/>
          <w:b w:val="false"/>
          <w:color w:val="000000"/>
          <w:sz w:val="25"/>
        </w:rPr>
        <w:t>(ii) </w:t>
      </w:r>
      <w:r>
        <w:rPr>
          <w:rFonts w:ascii="Times New Roman;serif" w:hAnsi="Times New Roman;serif"/>
          <w:b w:val="false"/>
          <w:color w:val="000000"/>
          <w:sz w:val="25"/>
          <w:u w:val="single"/>
        </w:rPr>
        <w:t>Disability</w:t>
      </w:r>
      <w:r>
        <w:rPr>
          <w:rFonts w:ascii="Times New Roman;serif" w:hAnsi="Times New Roman;serif"/>
          <w:b w:val="false"/>
          <w:color w:val="000000"/>
          <w:sz w:val="25"/>
        </w:rPr>
        <w:t>. If the Company determines in good faith that the Executive has incurred a Disability, the Company may give the Executive written notice of its intention to terminate the Executive’s employment. In such event, the Executive’s employment with the Company shall terminate effective on the 30th day after receipt of such notice by the Executive, provided that within such 30-day period the Executive shall not have returned to full-time performance of the Executive’s duties. The Executive shall continue to receive the Executive’s Annual Base Salary until the 90th day following the date of the Notice of Termination.</w:t>
      </w:r>
    </w:p>
    <w:p>
      <w:pPr>
        <w:pStyle w:val="TextBody"/>
        <w:bidi w:val="0"/>
        <w:spacing w:lineRule="auto" w:line="300" w:before="0" w:after="160"/>
        <w:jc w:val="left"/>
        <w:rPr/>
      </w:pPr>
      <w:r>
        <w:rPr>
          <w:rFonts w:ascii="Times New Roman;serif" w:hAnsi="Times New Roman;serif"/>
          <w:b w:val="false"/>
          <w:color w:val="000000"/>
          <w:sz w:val="25"/>
        </w:rPr>
        <w:t>(iii) </w:t>
      </w:r>
      <w:r>
        <w:rPr>
          <w:rFonts w:ascii="Times New Roman;serif" w:hAnsi="Times New Roman;serif"/>
          <w:b w:val="false"/>
          <w:color w:val="000000"/>
          <w:sz w:val="25"/>
          <w:u w:val="single"/>
        </w:rPr>
        <w:t>Termination for Cause</w:t>
      </w:r>
      <w:r>
        <w:rPr>
          <w:rFonts w:ascii="Times New Roman;serif" w:hAnsi="Times New Roman;serif"/>
          <w:b w:val="false"/>
          <w:color w:val="000000"/>
          <w:sz w:val="25"/>
        </w:rPr>
        <w:t>. The Company may terminate the Executive’s employment hereunder for Cause.</w:t>
      </w:r>
    </w:p>
    <w:p>
      <w:pPr>
        <w:pStyle w:val="TextBody"/>
        <w:bidi w:val="0"/>
        <w:spacing w:lineRule="auto" w:line="300" w:before="0" w:after="160"/>
        <w:jc w:val="left"/>
        <w:rPr/>
      </w:pPr>
      <w:r>
        <w:rPr>
          <w:rFonts w:ascii="Times New Roman;serif" w:hAnsi="Times New Roman;serif"/>
          <w:b w:val="false"/>
          <w:color w:val="000000"/>
          <w:sz w:val="25"/>
        </w:rPr>
        <w:t>(iv) </w:t>
      </w:r>
      <w:r>
        <w:rPr>
          <w:rFonts w:ascii="Times New Roman;serif" w:hAnsi="Times New Roman;serif"/>
          <w:b w:val="false"/>
          <w:color w:val="000000"/>
          <w:sz w:val="25"/>
          <w:u w:val="single"/>
        </w:rPr>
        <w:t>Resignation for Good Reason</w:t>
      </w:r>
      <w:r>
        <w:rPr>
          <w:rFonts w:ascii="Times New Roman;serif" w:hAnsi="Times New Roman;serif"/>
          <w:b w:val="false"/>
          <w:color w:val="000000"/>
          <w:sz w:val="25"/>
        </w:rPr>
        <w:t>. The Executive may terminate the Executive’s employment hereunder for Good Reason.</w:t>
      </w:r>
    </w:p>
    <w:p>
      <w:pPr>
        <w:pStyle w:val="TextBody"/>
        <w:bidi w:val="0"/>
        <w:spacing w:lineRule="auto" w:line="300" w:before="0" w:after="160"/>
        <w:jc w:val="left"/>
        <w:rPr/>
      </w:pPr>
      <w:r>
        <w:rPr>
          <w:rFonts w:ascii="Times New Roman;serif" w:hAnsi="Times New Roman;serif"/>
          <w:b w:val="false"/>
          <w:color w:val="000000"/>
          <w:sz w:val="25"/>
        </w:rPr>
        <w:t>(v) </w:t>
      </w:r>
      <w:r>
        <w:rPr>
          <w:rFonts w:ascii="Times New Roman;serif" w:hAnsi="Times New Roman;serif"/>
          <w:b w:val="false"/>
          <w:color w:val="000000"/>
          <w:sz w:val="25"/>
          <w:u w:val="single"/>
        </w:rPr>
        <w:t>Termination without Cause</w:t>
      </w:r>
      <w:r>
        <w:rPr>
          <w:rFonts w:ascii="Times New Roman;serif" w:hAnsi="Times New Roman;serif"/>
          <w:b w:val="false"/>
          <w:color w:val="000000"/>
          <w:sz w:val="25"/>
        </w:rPr>
        <w:t>. The Company may terminate the Executive’s employment hereunder without Cause.</w:t>
      </w:r>
    </w:p>
    <w:p>
      <w:pPr>
        <w:pStyle w:val="TextBody"/>
        <w:bidi w:val="0"/>
        <w:spacing w:lineRule="auto" w:line="300" w:before="0" w:after="160"/>
        <w:jc w:val="left"/>
        <w:rPr/>
      </w:pPr>
      <w:r>
        <w:rPr>
          <w:rFonts w:ascii="Times New Roman;serif" w:hAnsi="Times New Roman;serif"/>
          <w:b w:val="false"/>
          <w:color w:val="000000"/>
          <w:sz w:val="25"/>
        </w:rPr>
        <w:t>(vi) </w:t>
      </w:r>
      <w:r>
        <w:rPr>
          <w:rFonts w:ascii="Times New Roman;serif" w:hAnsi="Times New Roman;serif"/>
          <w:b w:val="false"/>
          <w:color w:val="000000"/>
          <w:sz w:val="25"/>
          <w:u w:val="single"/>
        </w:rPr>
        <w:t>Resignation without Good Reason</w:t>
      </w:r>
      <w:r>
        <w:rPr>
          <w:rFonts w:ascii="Times New Roman;serif" w:hAnsi="Times New Roman;serif"/>
          <w:b w:val="false"/>
          <w:color w:val="000000"/>
          <w:sz w:val="25"/>
        </w:rPr>
        <w:t>. The Executive may resign the Executive’s employment hereunder without Good Reason.</w:t>
      </w:r>
    </w:p>
    <w:p>
      <w:pPr>
        <w:pStyle w:val="TextBody"/>
        <w:bidi w:val="0"/>
        <w:spacing w:lineRule="auto" w:line="300" w:before="0" w:after="160"/>
        <w:jc w:val="left"/>
        <w:rPr/>
      </w:pPr>
      <w:r>
        <w:rPr>
          <w:rFonts w:ascii="Times New Roman;serif" w:hAnsi="Times New Roman;serif"/>
          <w:b w:val="false"/>
          <w:color w:val="000000"/>
          <w:sz w:val="25"/>
        </w:rPr>
        <w:t>(b) </w:t>
      </w:r>
      <w:r>
        <w:rPr>
          <w:rFonts w:ascii="Times New Roman;serif" w:hAnsi="Times New Roman;serif"/>
          <w:b w:val="false"/>
          <w:color w:val="000000"/>
          <w:sz w:val="25"/>
          <w:u w:val="single"/>
        </w:rPr>
        <w:t>Notice of Termination</w:t>
      </w:r>
      <w:r>
        <w:rPr>
          <w:rFonts w:ascii="Times New Roman;serif" w:hAnsi="Times New Roman;serif"/>
          <w:b w:val="false"/>
          <w:color w:val="000000"/>
          <w:sz w:val="25"/>
        </w:rPr>
        <w:t xml:space="preserve">. Any termination of the Executive’s employment by the Company or by the Executive under this Section 5 (other than termination pursuant to subsection (a)(i)) shall be communicated by a written notice from the Chief Executive Officer of the Company or the Executive to the other indicating the specific termination provision in this Agreement relied upon, (and, in the case of the Executive’s resignation for Good Reason, setting forth in reasonable detail the facts and circumstances claimed to provide a basis for termination of </w:t>
      </w:r>
    </w:p>
    <w:p>
      <w:pPr>
        <w:pStyle w:val="TextBody"/>
        <w:bidi w:val="0"/>
        <w:spacing w:before="0" w:after="16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15010"/>
                <wp:effectExtent l="0" t="0" r="0" b="0"/>
                <wp:wrapNone/>
                <wp:docPr id="111" name="Frame110"/>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4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4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the Executive’s employment under Section 5(a)(iv), and specifying a Date of Termination which, in the case of the Executive’s resignation for Good Reason or the Executive’s resignation without Good Reason pursuant to Section 5(a)(iv) or 5(a)(vi), respectively, shall be at least 90 days following the date of such notice (a “Notice of Termination”). In the event of the Executive’s resignation for Good Reason pursuant to Section 5(a)(iv), the Company shall have the right, if the basis for such Good Reason is curable, to cure the same within 30 days following the receipt of the Notice of Termination, and Good Reason shall not be deemed to exist if the Company cures the event giving rise to Good Reason within such 30-day period. The Executive shall continue to receive the Executive’s Annual Base Salary, annual bonus and all other compensation and perquisites referenced in Section 4 through the Date of Termination.</w:t>
      </w:r>
    </w:p>
    <w:p>
      <w:pPr>
        <w:pStyle w:val="TextBody"/>
        <w:bidi w:val="0"/>
        <w:spacing w:lineRule="auto" w:line="300" w:before="0" w:after="160"/>
        <w:jc w:val="left"/>
        <w:rPr/>
      </w:pPr>
      <w:r>
        <w:rPr>
          <w:rFonts w:ascii="Times New Roman;serif" w:hAnsi="Times New Roman;serif"/>
          <w:b w:val="false"/>
          <w:color w:val="000000"/>
          <w:sz w:val="25"/>
        </w:rPr>
        <w:t>6. </w:t>
      </w:r>
      <w:r>
        <w:rPr>
          <w:rFonts w:ascii="Times New Roman;serif" w:hAnsi="Times New Roman;serif"/>
          <w:b w:val="false"/>
          <w:color w:val="000000"/>
          <w:sz w:val="25"/>
          <w:u w:val="single"/>
        </w:rPr>
        <w:t>Severance Payments</w:t>
      </w:r>
      <w:r>
        <w:rPr>
          <w:rFonts w:ascii="Times New Roman;serif" w:hAnsi="Times New Roman;serif"/>
          <w:b w:val="false"/>
          <w:color w:val="000000"/>
          <w:sz w:val="25"/>
        </w:rPr>
        <w:t>.</w:t>
      </w:r>
    </w:p>
    <w:p>
      <w:pPr>
        <w:pStyle w:val="TextBody"/>
        <w:bidi w:val="0"/>
        <w:spacing w:lineRule="auto" w:line="300" w:before="0" w:after="160"/>
        <w:jc w:val="left"/>
        <w:rPr/>
      </w:pPr>
      <w:r>
        <w:rPr>
          <w:rFonts w:ascii="Times New Roman;serif" w:hAnsi="Times New Roman;serif"/>
          <w:b w:val="false"/>
          <w:color w:val="000000"/>
          <w:sz w:val="25"/>
        </w:rPr>
        <w:t>(a) </w:t>
      </w:r>
      <w:r>
        <w:rPr>
          <w:rFonts w:ascii="Times New Roman;serif" w:hAnsi="Times New Roman;serif"/>
          <w:b w:val="false"/>
          <w:color w:val="000000"/>
          <w:sz w:val="25"/>
          <w:u w:val="single"/>
        </w:rPr>
        <w:t>Termination for any Reason</w:t>
      </w:r>
      <w:r>
        <w:rPr>
          <w:rFonts w:ascii="Times New Roman;serif" w:hAnsi="Times New Roman;serif"/>
          <w:b w:val="false"/>
          <w:color w:val="000000"/>
          <w:sz w:val="25"/>
        </w:rPr>
        <w:t>. In the event the Executive’s employment with the Company is terminated for any reason, the Company shall pay the Executive (or the Executive’s beneficiary in the event of the Executive’s death) any unpaid Annual Base Salary that has accrued as of the Date of Termination, any unreimbursed expenses due to the Executive in accordance with the Company’s expense reimbursement policy and an amount equal to compensation for accrued but unused sick days and vacation days. The Company shall permit the Executive to elect to continue health plan coverage in accordance with the requirements of applicable law (e.g. COBRA coverage), at the applicable monthly cost charged for such coverage (the “Monthly COBRA Coverage Continuation Rate”). The Company may require the Executive to complete and file any election forms that are generally required of other employees to obtain COBRA coverage; and the Executive’s COBRA coverage may be terminable in accordance with applicable law. The Executive shall also be entitled to accrued, vested benefits under the Company’s benefit plans and programs as provided therein. The Executive shall be entitled to the additional payments and benefits described below only as set forth herein.</w:t>
      </w:r>
    </w:p>
    <w:p>
      <w:pPr>
        <w:pStyle w:val="TextBody"/>
        <w:bidi w:val="0"/>
        <w:spacing w:lineRule="auto" w:line="300" w:before="0" w:after="160"/>
        <w:jc w:val="left"/>
        <w:rPr/>
      </w:pPr>
      <w:r>
        <w:rPr>
          <w:rFonts w:ascii="Times New Roman;serif" w:hAnsi="Times New Roman;serif"/>
          <w:b w:val="false"/>
          <w:color w:val="000000"/>
          <w:sz w:val="25"/>
        </w:rPr>
        <w:t>(b) </w:t>
      </w:r>
      <w:r>
        <w:rPr>
          <w:rFonts w:ascii="Times New Roman;serif" w:hAnsi="Times New Roman;serif"/>
          <w:b w:val="false"/>
          <w:color w:val="000000"/>
          <w:sz w:val="25"/>
          <w:u w:val="single"/>
        </w:rPr>
        <w:t>Termination without Cause, Resignation for Good Reason or Termination by Reason of Death or Disability</w:t>
      </w:r>
      <w:r>
        <w:rPr>
          <w:rFonts w:ascii="Times New Roman;serif" w:hAnsi="Times New Roman;serif"/>
          <w:b w:val="false"/>
          <w:color w:val="000000"/>
          <w:sz w:val="25"/>
        </w:rPr>
        <w:t xml:space="preserve">. Subject to Sections 6(c) and (d) and the restrictions contained herein, in the event of the Executive’s Termination without Cause (pursuant to Section 5(a)(v)), Resignation for Good Reason (pursuant to Section 5(a)(iv)) or termination by reason of death or Disability (pursuant to Section 5(a)(i) or (ii), respectively), the Company shall pay to the Executive the amounts described in subsection (a). In addition, subject to Sections 6(c) and (d) and the restrictions contained herein, and in the case of Termination without Cause (pursuant to Section 5(a)(v), Resignation for Good Reason (pursuant to Section 5(a)(iv)) or Disability (pursuant to Section 5(a)(ii)) subject to the Executive’s execution and non-revocation of a customary release in favor of the Company (the “Release”) no later than thirty (30) days following the Date of Termination, the Company shall pay to the Executive (or the Executive’s beneficiary in the event of the Executive’s death) an amount equal to the </w:t>
      </w:r>
    </w:p>
    <w:p>
      <w:pPr>
        <w:pStyle w:val="TextBody"/>
        <w:bidi w:val="0"/>
        <w:spacing w:before="0" w:after="16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15010"/>
                <wp:effectExtent l="0" t="0" r="0" b="0"/>
                <wp:wrapNone/>
                <wp:docPr id="112" name="Frame111"/>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5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5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color w:val="000000"/>
        </w:rPr>
      </w:pPr>
      <w:r>
        <w:rPr>
          <w:color w:val="000000"/>
        </w:rPr>
        <w:t>“</w:t>
      </w:r>
      <w:r>
        <w:rPr>
          <w:rFonts w:ascii="Times New Roman;serif" w:hAnsi="Times New Roman;serif"/>
          <w:b w:val="false"/>
          <w:color w:val="000000"/>
          <w:sz w:val="25"/>
        </w:rPr>
        <w:t>Severance Amount” described below. For purposes of this Agreement the Severance Amount is equal to the sum of:</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(i) 1.25 times the Executive’s Annual Base Salary,</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(ii) 1.25 times the greater of (A) the total of all bonuses paid (or payable) to Executive in respect of the fiscal year ending immediately prior to the Date of Termination, excluding any bonuses that are extraordinary in nature (e.g., a transaction related bonus) or (B) the target bonuses for the fiscal year in which the Date of Termination falls, determined in accordance with the Company’s bonus program or programs, if any, and</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(iii) 18.0 times the difference of (A) the Monthly COBRA Continuation Coverage Rate determined as of the Date of Termination for the Executive’s applicable health plan coverage as in effect on such date, less (B) the monthly cost to Executive that is being charged for such coverage as of the Date of Termination.</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The Severance Amount as so determined shall be payable to the Executive (or the Executive’s beneficiary) in substantially equal installments over the 12-month period following the Date of Termination (the “Payment Period”) commencing no later than thirty (30) days following the execution and non-revocation of the Release, in accordance with the Company’s regular payroll practices. The first installment payment shall include all amounts that would have otherwise been paid to the Executive during the period beginning on the Date of Termination and ending on the first installment payment date. Notwithstanding the foregoing, in the event that the end of the thirty (30) day notice and revocation period for the Release would result in the first installment payment occurring in the taxable year following the year in which the Date of Termination occurs, the first installment payment shall be made in the taxable year following the year in which the Date of Termination occurs. Each payment under this Section 6(b) shall be considered a separate payment and not one of a series of payments for purposes of Code Section 409A.</w:t>
      </w:r>
    </w:p>
    <w:p>
      <w:pPr>
        <w:pStyle w:val="TextBody"/>
        <w:bidi w:val="0"/>
        <w:spacing w:lineRule="auto" w:line="300" w:before="0" w:after="160"/>
        <w:jc w:val="left"/>
        <w:rPr/>
      </w:pPr>
      <w:r>
        <w:rPr>
          <w:rFonts w:ascii="Times New Roman;serif" w:hAnsi="Times New Roman;serif"/>
          <w:b w:val="false"/>
          <w:color w:val="000000"/>
          <w:sz w:val="25"/>
        </w:rPr>
        <w:t>(c) </w:t>
      </w:r>
      <w:r>
        <w:rPr>
          <w:rFonts w:ascii="Times New Roman;serif" w:hAnsi="Times New Roman;serif"/>
          <w:b w:val="false"/>
          <w:color w:val="000000"/>
          <w:sz w:val="25"/>
          <w:u w:val="single"/>
        </w:rPr>
        <w:t>Benefits Provided Upon Termination of Employment</w:t>
      </w:r>
      <w:r>
        <w:rPr>
          <w:rFonts w:ascii="Times New Roman;serif" w:hAnsi="Times New Roman;serif"/>
          <w:b w:val="false"/>
          <w:color w:val="000000"/>
          <w:sz w:val="25"/>
        </w:rPr>
        <w:t>. If the Executive’s termination or resignation does not constitute a “separation from service,” as such term is defined under Code Section 409A, the Executive shall nevertheless be entitled to receive all of the payments and benefits that the Executive is entitled to receive under this Agreement on account of the Executive’s termination of employment. However, the payments and benefits that the Executive is entitled to under this Agreement shall not be provided to the Executive until such time as the Executive has incurred a “separation from services” within the meaning of Code Section 409A.</w:t>
      </w:r>
    </w:p>
    <w:p>
      <w:pPr>
        <w:pStyle w:val="TextBody"/>
        <w:bidi w:val="0"/>
        <w:spacing w:lineRule="auto" w:line="300" w:before="0" w:after="160"/>
        <w:jc w:val="left"/>
        <w:rPr/>
      </w:pPr>
      <w:r>
        <w:rPr>
          <w:rFonts w:ascii="Times New Roman;serif" w:hAnsi="Times New Roman;serif"/>
          <w:b w:val="false"/>
          <w:color w:val="000000"/>
          <w:sz w:val="25"/>
        </w:rPr>
        <w:t>(d) </w:t>
      </w:r>
      <w:r>
        <w:rPr>
          <w:rFonts w:ascii="Times New Roman;serif" w:hAnsi="Times New Roman;serif"/>
          <w:b w:val="false"/>
          <w:color w:val="000000"/>
          <w:sz w:val="25"/>
          <w:u w:val="single"/>
        </w:rPr>
        <w:t>Payments on Account of Termination to a Specified Employee</w:t>
      </w:r>
      <w:r>
        <w:rPr>
          <w:rFonts w:ascii="Times New Roman;serif" w:hAnsi="Times New Roman;serif"/>
          <w:b w:val="false"/>
          <w:color w:val="000000"/>
          <w:sz w:val="25"/>
        </w:rPr>
        <w:t xml:space="preserve">. Notwithstanding the foregoing provisions of Sections 6(a), 6(b) or 6(c), in the event that the Executive is determined to be a Specified Employee at the time of the Executive’s termination of employment under this Agreement (or, if later, the Executive’s “separation from service” under Code Section 409A), to the extent that a payment, reimbursement or benefit under </w:t>
      </w:r>
    </w:p>
    <w:p>
      <w:pPr>
        <w:pStyle w:val="TextBody"/>
        <w:bidi w:val="0"/>
        <w:spacing w:before="0" w:after="16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15010"/>
                <wp:effectExtent l="0" t="0" r="0" b="0"/>
                <wp:wrapNone/>
                <wp:docPr id="113" name="Frame112"/>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6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6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Section 6(b) is considered to provide for a “deferral of compensation” (as determined under Code Section 409A), then such payment, reimbursement or benefit shall not be paid or provided until six months after the Executive’s separation from service, or the Executive’s death, whichever occurs first. Any payments, reimbursements or benefits that are withheld under this provision for the first six months shall be payable in a lump sum on the first day after the six-month anniversary of such termination of employment (or, if later, the Executive’s “separation from service” under Code Section 409A). The restrictions in this Section 6(d) shall be interpreted and applied solely to the minimum extent necessary to comply with the requirements of Code Section 409A(a)(2)(B). Accordingly, payments, benefits or reimbursements under Section 6(b) or any other part of this Agreement may nevertheless be provided to Executive within the six-month period following the date of Executive’s termination of employment under this Agreement (or, if later, the Executive’s “separation from service” under Code Section 409A), to the extent that it would nevertheless be permissible to do so under Code Section 409A because those payments, reimbursements or benefits are (i) described in Treasury Regulations Section 1.409A-1(b)(9)(iii) (i.e., payments within the limitations therein that are being made on account of an involuntary termination or termination for good reason, within the meaning of the Treasury Regulations), or (ii) described in Treasury Regulation Section 1.409A-1(b)(4) (i.e., payments which are treated as short-term deferrals within the meaning of the Treasury Regulations), or (iii) benefits described in Treasury Regulations Section 1.409A-1(b)(9)(v) (e.g. health care benefits).</w:t>
      </w:r>
    </w:p>
    <w:p>
      <w:pPr>
        <w:pStyle w:val="TextBody"/>
        <w:bidi w:val="0"/>
        <w:spacing w:lineRule="auto" w:line="300" w:before="0" w:after="160"/>
        <w:jc w:val="left"/>
        <w:rPr/>
      </w:pPr>
      <w:r>
        <w:rPr>
          <w:rFonts w:ascii="Times New Roman;serif" w:hAnsi="Times New Roman;serif"/>
          <w:b w:val="false"/>
          <w:color w:val="000000"/>
          <w:sz w:val="25"/>
        </w:rPr>
        <w:t>7. </w:t>
      </w:r>
      <w:r>
        <w:rPr>
          <w:rFonts w:ascii="Times New Roman;serif" w:hAnsi="Times New Roman;serif"/>
          <w:b w:val="false"/>
          <w:color w:val="000000"/>
          <w:sz w:val="25"/>
          <w:u w:val="single"/>
        </w:rPr>
        <w:t>Competition; Nonsolicitation</w:t>
      </w:r>
      <w:r>
        <w:rPr>
          <w:rFonts w:ascii="Times New Roman;serif" w:hAnsi="Times New Roman;serif"/>
          <w:b w:val="false"/>
          <w:color w:val="000000"/>
          <w:sz w:val="25"/>
        </w:rPr>
        <w:t>.</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(a) During the Term and, following any termination of Executive’s employment, for a period equal to (i) the Payment Period, in the case of a termination of employment for which payments are made pursuant to Section 6(b) hereof, or (ii) 24 months from the date of such termination in the event of a voluntary termination of employment by the Executive without Good Reason, or a termination by the Company for Cause, the Executive shall not, without the prior written consent of the Board, directly or indirectly engage in, or have any interest in, or manage or operate any person, firm, corporation, partnership or business (whether as director, officer, employee, agent, representative, partner, security holder, consultant or otherwise) that engages in any business (other than a business that constitutes less than 5% of the relevant entity’s net revenue and a proportionate share of its operating income) which competes with any business of the Company or any entity owned by it anywhere in the world; provided, however, that the Executive shall be permitted to acquire a stock interest in such a corporation provided such stock is publicly traded and the stock so acquired does not represent more than one percent of the outstanding shares of such corporation.</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 xml:space="preserve">(b) During the Term and for a period of two years following any termination of the Executive’s employment, the Executive shall not, directly or indirectly, on the Executive’s own behalf or on behalf of any other person or entity, whether as an owner, employee, service provider or otherwise, solicit or induce any person who is or was employed by, or </w:t>
      </w:r>
    </w:p>
    <w:p>
      <w:pPr>
        <w:pStyle w:val="TextBody"/>
        <w:bidi w:val="0"/>
        <w:spacing w:before="0" w:after="16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15010"/>
                <wp:effectExtent l="0" t="0" r="0" b="0"/>
                <wp:wrapNone/>
                <wp:docPr id="114" name="Frame113"/>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7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7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providing consulting services to, the Company or any of its subsidiaries during the twelve-month period prior to the date of such termination, to terminate their employment or consulting relationship with the Company or any such subsidiary.</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(c) In the event the agreement in this Section 7 shall be determined by any court of competent jurisdiction to be unenforceable by reason of its extending for too great a period of time or over too great a geographical area or by reason of its being too extensive in any other respect, it shall be interpreted to extend only over the maximum period of time for which it may be enforceable, and/or over the maximum geographical area as to which it may be enforceable and/or to the maximum extent in all other respects as to which it may be enforceable, all as determined by such court in such action.</w:t>
      </w:r>
    </w:p>
    <w:p>
      <w:pPr>
        <w:pStyle w:val="TextBody"/>
        <w:bidi w:val="0"/>
        <w:spacing w:lineRule="auto" w:line="300" w:before="0" w:after="160"/>
        <w:jc w:val="left"/>
        <w:rPr/>
      </w:pPr>
      <w:r>
        <w:rPr>
          <w:rFonts w:ascii="Times New Roman;serif" w:hAnsi="Times New Roman;serif"/>
          <w:b w:val="false"/>
          <w:color w:val="000000"/>
          <w:sz w:val="25"/>
        </w:rPr>
        <w:t>8. </w:t>
      </w:r>
      <w:r>
        <w:rPr>
          <w:rFonts w:ascii="Times New Roman;serif" w:hAnsi="Times New Roman;serif"/>
          <w:b w:val="false"/>
          <w:color w:val="000000"/>
          <w:sz w:val="25"/>
          <w:u w:val="single"/>
        </w:rPr>
        <w:t>Nondisclosure of Proprietary Information</w:t>
      </w:r>
      <w:r>
        <w:rPr>
          <w:rFonts w:ascii="Times New Roman;serif" w:hAnsi="Times New Roman;serif"/>
          <w:b w:val="false"/>
          <w:color w:val="000000"/>
          <w:sz w:val="25"/>
        </w:rPr>
        <w:t>.</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(a) Except as required in the faithful performance of the Executive’s duties hereunder or pursuant to subsection (c), the Executive shall, in perpetuity, maintain in confidence and shall not directly, indirectly or otherwise, use, disseminate, disclose or publish, or use for the Executive’s benefit or the benefit of any person, firm, corporation or other entity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except for such information which is or becomes publicly available other than as a result of a breach by the Executive of this Section 8, or deliver to any person, firm, corporation or other entity any document, record, notebook, computer program or similar repository of or containing any such confidential or proprietary information or trade secrets. The parties hereby stipulate and agree that as between them the foregoing matters are important, material and confidential proprietary information and trade secrets and affect the successful conduct of the businesses of the Company (and any successor or assignee of the Company).</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(b) Upon termination of the Executive’s employment with the Company for any reason, the Executive shall promptly deliver to the Company all correspondence, drawings, manuals, letters, notes, notebooks, reports, programs, plans, proposals, financial documents, or any other documents concerning the Company’s customers, business plans, marketing strategies, products or processes and/or which contain proprietary information or trade secrets.</w: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 xml:space="preserve">(c) The Executive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shall assist such counsel in resisting or otherwise responding to such process. Notwithstanding anything in this Agreement or otherwise to the contrary, nothing in this Agreement or otherwise prevents the Executive from providing, without prior notice to the Company, information to governmental authorities regarding possible legal </w:t>
      </w:r>
    </w:p>
    <w:p>
      <w:pPr>
        <w:pStyle w:val="TextBody"/>
        <w:bidi w:val="0"/>
        <w:spacing w:before="0" w:after="16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15010"/>
                <wp:effectExtent l="0" t="0" r="0" b="0"/>
                <wp:wrapNone/>
                <wp:docPr id="115" name="Frame114"/>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8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8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 xml:space="preserve">violations or otherwise testifying or participating in any investigation or proceeding by any governmental authorities regarding possible legal violations, and for purpose of clarity the Executive is not prohibited from providing information voluntarily to the Securities and Exchange Commission pursuant to Section 21F of the Securities Exchange Act of 1934, as amended. </w:t>
      </w:r>
    </w:p>
    <w:p>
      <w:pPr>
        <w:pStyle w:val="TextBody"/>
        <w:bidi w:val="0"/>
        <w:spacing w:lineRule="auto" w:line="300" w:before="0" w:after="160"/>
        <w:jc w:val="left"/>
        <w:rPr/>
      </w:pPr>
      <w:r>
        <w:rPr>
          <w:rFonts w:ascii="Times New Roman;serif" w:hAnsi="Times New Roman;serif"/>
          <w:b w:val="false"/>
          <w:color w:val="000000"/>
          <w:sz w:val="25"/>
        </w:rPr>
        <w:t>9. </w:t>
      </w:r>
      <w:r>
        <w:rPr>
          <w:rFonts w:ascii="Times New Roman;serif" w:hAnsi="Times New Roman;serif"/>
          <w:b w:val="false"/>
          <w:color w:val="000000"/>
          <w:sz w:val="25"/>
          <w:u w:val="single"/>
        </w:rPr>
        <w:t>Injunctive Relief</w:t>
      </w:r>
      <w:r>
        <w:rPr>
          <w:rFonts w:ascii="Times New Roman;serif" w:hAnsi="Times New Roman;serif"/>
          <w:b w:val="false"/>
          <w:color w:val="000000"/>
          <w:sz w:val="25"/>
        </w:rPr>
        <w:t>. It is recognized and acknowledged by the Executive that a breach of the covenants contained in Sections 7 and 8 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Sections 7 and 8, in addition to any other remedy which may be available at law or in equity, the Company shall be entitled to specific performance and injunctive relief.</w:t>
      </w:r>
    </w:p>
    <w:p>
      <w:pPr>
        <w:pStyle w:val="TextBody"/>
        <w:bidi w:val="0"/>
        <w:spacing w:lineRule="auto" w:line="300" w:before="0" w:after="160"/>
        <w:jc w:val="left"/>
        <w:rPr/>
      </w:pPr>
      <w:r>
        <w:rPr>
          <w:rFonts w:ascii="Times New Roman;serif" w:hAnsi="Times New Roman;serif"/>
          <w:b w:val="false"/>
          <w:color w:val="000000"/>
          <w:sz w:val="25"/>
        </w:rPr>
        <w:t>10. </w:t>
      </w:r>
      <w:r>
        <w:rPr>
          <w:rFonts w:ascii="Times New Roman;serif" w:hAnsi="Times New Roman;serif"/>
          <w:b w:val="false"/>
          <w:color w:val="000000"/>
          <w:sz w:val="25"/>
          <w:u w:val="single"/>
        </w:rPr>
        <w:t>Survival</w:t>
      </w:r>
      <w:r>
        <w:rPr>
          <w:rFonts w:ascii="Times New Roman;serif" w:hAnsi="Times New Roman;serif"/>
          <w:b w:val="false"/>
          <w:color w:val="000000"/>
          <w:sz w:val="25"/>
        </w:rPr>
        <w:t>. The expiration or termination of the Term shall not impair the rights or obligations of any party hereto which shall have accrued hereunder prior to such expiration.</w:t>
      </w:r>
    </w:p>
    <w:p>
      <w:pPr>
        <w:pStyle w:val="TextBody"/>
        <w:bidi w:val="0"/>
        <w:spacing w:lineRule="auto" w:line="300" w:before="0" w:after="160"/>
        <w:jc w:val="left"/>
        <w:rPr/>
      </w:pPr>
      <w:r>
        <w:rPr>
          <w:rFonts w:ascii="Times New Roman;serif" w:hAnsi="Times New Roman;serif"/>
          <w:b w:val="false"/>
          <w:color w:val="000000"/>
          <w:sz w:val="25"/>
        </w:rPr>
        <w:t>11. </w:t>
      </w:r>
      <w:r>
        <w:rPr>
          <w:rFonts w:ascii="Times New Roman;serif" w:hAnsi="Times New Roman;serif"/>
          <w:b w:val="false"/>
          <w:color w:val="000000"/>
          <w:sz w:val="25"/>
          <w:u w:val="single"/>
        </w:rPr>
        <w:t>Binding on Successors</w:t>
      </w:r>
      <w:r>
        <w:rPr>
          <w:rFonts w:ascii="Times New Roman;serif" w:hAnsi="Times New Roman;serif"/>
          <w:b w:val="false"/>
          <w:color w:val="000000"/>
          <w:sz w:val="25"/>
        </w:rPr>
        <w:t>. This Agreement shall be binding upon and inure to the benefit of the Company, the Executive and their respective successors, assigns, personnel and legal representatives, executors, administrators, heirs, distributees, devisees, and legatees, as applicable.</w:t>
      </w:r>
    </w:p>
    <w:p>
      <w:pPr>
        <w:pStyle w:val="TextBody"/>
        <w:bidi w:val="0"/>
        <w:spacing w:lineRule="auto" w:line="300" w:before="0" w:after="160"/>
        <w:jc w:val="left"/>
        <w:rPr/>
      </w:pPr>
      <w:r>
        <w:rPr>
          <w:rFonts w:ascii="Times New Roman;serif" w:hAnsi="Times New Roman;serif"/>
          <w:b w:val="false"/>
          <w:color w:val="000000"/>
          <w:sz w:val="25"/>
        </w:rPr>
        <w:t>12. </w:t>
      </w:r>
      <w:r>
        <w:rPr>
          <w:rFonts w:ascii="Times New Roman;serif" w:hAnsi="Times New Roman;serif"/>
          <w:b w:val="false"/>
          <w:color w:val="000000"/>
          <w:sz w:val="25"/>
          <w:u w:val="single"/>
        </w:rPr>
        <w:t>Governing Law</w:t>
      </w:r>
      <w:r>
        <w:rPr>
          <w:rFonts w:ascii="Times New Roman;serif" w:hAnsi="Times New Roman;serif"/>
          <w:b w:val="false"/>
          <w:color w:val="000000"/>
          <w:sz w:val="25"/>
        </w:rPr>
        <w:t>. This Agreement shall be governed, construed, interpreted and enforced in accordance with the substantive laws of the State of Ohio.</w:t>
      </w:r>
    </w:p>
    <w:p>
      <w:pPr>
        <w:pStyle w:val="TextBody"/>
        <w:bidi w:val="0"/>
        <w:spacing w:lineRule="auto" w:line="300" w:before="0" w:after="160"/>
        <w:jc w:val="left"/>
        <w:rPr/>
      </w:pPr>
      <w:r>
        <w:rPr>
          <w:rFonts w:ascii="Times New Roman;serif" w:hAnsi="Times New Roman;serif"/>
          <w:b w:val="false"/>
          <w:color w:val="000000"/>
          <w:sz w:val="25"/>
        </w:rPr>
        <w:t>13. </w:t>
      </w:r>
      <w:r>
        <w:rPr>
          <w:rFonts w:ascii="Times New Roman;serif" w:hAnsi="Times New Roman;serif"/>
          <w:b w:val="false"/>
          <w:color w:val="000000"/>
          <w:sz w:val="25"/>
          <w:u w:val="single"/>
        </w:rPr>
        <w:t>Validity</w:t>
      </w:r>
      <w:r>
        <w:rPr>
          <w:rFonts w:ascii="Times New Roman;serif" w:hAnsi="Times New Roman;serif"/>
          <w:b w:val="false"/>
          <w:color w:val="000000"/>
          <w:sz w:val="25"/>
        </w:rPr>
        <w:t>. The invalidity or unenforceability of any provision or provisions of this Agreement shall not affect the validity or enforceability of any other provision of this Agreement, which shall remain in full force and effect.</w:t>
      </w:r>
    </w:p>
    <w:p>
      <w:pPr>
        <w:pStyle w:val="TextBody"/>
        <w:bidi w:val="0"/>
        <w:spacing w:lineRule="auto" w:line="300" w:before="0" w:after="160"/>
        <w:jc w:val="left"/>
        <w:rPr/>
      </w:pPr>
      <w:r>
        <w:rPr>
          <w:rFonts w:ascii="Times New Roman;serif" w:hAnsi="Times New Roman;serif"/>
          <w:b w:val="false"/>
          <w:color w:val="000000"/>
          <w:sz w:val="25"/>
        </w:rPr>
        <w:t>14. </w:t>
      </w:r>
      <w:r>
        <w:rPr>
          <w:rFonts w:ascii="Times New Roman;serif" w:hAnsi="Times New Roman;serif"/>
          <w:b w:val="false"/>
          <w:color w:val="000000"/>
          <w:sz w:val="25"/>
          <w:u w:val="single"/>
        </w:rPr>
        <w:t>Notices</w:t>
      </w:r>
      <w:r>
        <w:rPr>
          <w:rFonts w:ascii="Times New Roman;serif" w:hAnsi="Times New Roman;serif"/>
          <w:b w:val="false"/>
          <w:color w:val="000000"/>
          <w:sz w:val="25"/>
        </w:rPr>
        <w:t>. Any notice, request, claim, demand, document or other communication hereunder to any party shall be effective upon receipt (or refusal of receipt) and shall be in writing and delivered personally or sent by telex, telecopy, or certified or registered mail, postage prepaid, as follows:</w:t>
      </w:r>
    </w:p>
    <w:p>
      <w:pPr>
        <w:pStyle w:val="TextBody"/>
        <w:bidi w:val="0"/>
        <w:spacing w:lineRule="auto" w:line="300" w:before="0" w:after="160"/>
        <w:ind w:left="0" w:right="0" w:firstLine="360"/>
        <w:jc w:val="left"/>
        <w:rPr>
          <w:rFonts w:ascii="Times New Roman;serif" w:hAnsi="Times New Roman;serif"/>
          <w:b w:val="false"/>
          <w:color w:val="000000"/>
          <w:sz w:val="25"/>
        </w:rPr>
      </w:pPr>
      <w:r>
        <w:rPr>
          <w:rFonts w:ascii="Times New Roman;serif" w:hAnsi="Times New Roman;serif"/>
          <w:b w:val="false"/>
          <w:color w:val="000000"/>
          <w:sz w:val="25"/>
        </w:rPr>
        <w:t>(a) If to the Company, to:</w:t>
      </w:r>
    </w:p>
    <w:p>
      <w:pPr>
        <w:pStyle w:val="TextBody"/>
        <w:bidi w:val="0"/>
        <w:spacing w:lineRule="auto" w:line="288" w:before="0" w:after="0"/>
        <w:jc w:val="left"/>
        <w:rPr>
          <w:rFonts w:ascii="Times New Roman;serif" w:hAnsi="Times New Roman;serif"/>
          <w:b w:val="false"/>
          <w:color w:val="000000"/>
          <w:sz w:val="25"/>
        </w:rPr>
      </w:pPr>
      <w:r>
        <w:rPr>
          <w:rFonts w:ascii="Times New Roman;serif" w:hAnsi="Times New Roman;serif"/>
          <w:b w:val="false"/>
          <w:color w:val="000000"/>
          <w:sz w:val="25"/>
        </w:rPr>
        <w:t>TransDigm Group Incorporated</w:t>
      </w:r>
    </w:p>
    <w:p>
      <w:pPr>
        <w:pStyle w:val="TextBody"/>
        <w:bidi w:val="0"/>
        <w:spacing w:lineRule="auto" w:line="288" w:before="0" w:after="0"/>
        <w:jc w:val="left"/>
        <w:rPr>
          <w:rFonts w:ascii="Times New Roman;serif" w:hAnsi="Times New Roman;serif"/>
          <w:b w:val="false"/>
          <w:color w:val="000000"/>
          <w:sz w:val="25"/>
        </w:rPr>
      </w:pPr>
      <w:r>
        <w:rPr>
          <w:rFonts w:ascii="Times New Roman;serif" w:hAnsi="Times New Roman;serif"/>
          <w:b w:val="false"/>
          <w:color w:val="000000"/>
          <w:sz w:val="25"/>
        </w:rPr>
        <w:t>Cohen &amp; Co. Building</w:t>
      </w:r>
    </w:p>
    <w:p>
      <w:pPr>
        <w:pStyle w:val="TextBody"/>
        <w:bidi w:val="0"/>
        <w:spacing w:lineRule="auto" w:line="288" w:before="0" w:after="0"/>
        <w:jc w:val="left"/>
        <w:rPr>
          <w:rFonts w:ascii="Times New Roman;serif" w:hAnsi="Times New Roman;serif"/>
          <w:b w:val="false"/>
          <w:color w:val="000000"/>
          <w:sz w:val="25"/>
        </w:rPr>
      </w:pPr>
      <w:r>
        <w:rPr>
          <w:rFonts w:ascii="Times New Roman;serif" w:hAnsi="Times New Roman;serif"/>
          <w:b w:val="false"/>
          <w:color w:val="000000"/>
          <w:sz w:val="25"/>
        </w:rPr>
        <w:t>1350 Euclid Avenue, Suite 1600</w:t>
      </w:r>
    </w:p>
    <w:p>
      <w:pPr>
        <w:pStyle w:val="TextBody"/>
        <w:bidi w:val="0"/>
        <w:spacing w:lineRule="auto" w:line="288" w:before="0" w:after="0"/>
        <w:jc w:val="left"/>
        <w:rPr>
          <w:rFonts w:ascii="Times New Roman;serif" w:hAnsi="Times New Roman;serif"/>
          <w:b w:val="false"/>
          <w:color w:val="000000"/>
          <w:sz w:val="25"/>
        </w:rPr>
      </w:pPr>
      <w:r>
        <w:rPr>
          <w:rFonts w:ascii="Times New Roman;serif" w:hAnsi="Times New Roman;serif"/>
          <w:b w:val="false"/>
          <w:color w:val="000000"/>
          <w:sz w:val="25"/>
        </w:rPr>
        <w:t>Cleveland, Ohio 44115</w:t>
      </w:r>
    </w:p>
    <w:p>
      <w:pPr>
        <w:pStyle w:val="TextBody"/>
        <w:bidi w:val="0"/>
        <w:spacing w:lineRule="auto" w:line="288" w:before="0" w:after="0"/>
        <w:jc w:val="left"/>
        <w:rPr>
          <w:rFonts w:ascii="Times New Roman;serif" w:hAnsi="Times New Roman;serif"/>
          <w:b w:val="false"/>
          <w:color w:val="000000"/>
          <w:sz w:val="25"/>
        </w:rPr>
      </w:pPr>
      <w:r>
        <w:rPr>
          <w:rFonts w:ascii="Times New Roman;serif" w:hAnsi="Times New Roman;serif"/>
          <w:b w:val="false"/>
          <w:color w:val="000000"/>
          <w:sz w:val="25"/>
        </w:rPr>
        <w:t>Attention: Chief Executive Officer</w:t>
      </w:r>
    </w:p>
    <w:p>
      <w:pPr>
        <w:pStyle w:val="TextBody"/>
        <w:bidi w:val="0"/>
        <w:spacing w:before="0" w:after="0"/>
        <w:jc w:val="left"/>
        <w:rPr/>
      </w:pPr>
      <w:r>
        <w:rPr/>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(b) If to the Executive, to the Executive’s at the address on file; or at any other address as any party shall have specified by notice in writing to the other party in accordance with this Section 14.</w:t>
      </w:r>
    </w:p>
    <w:p>
      <w:pPr>
        <w:pStyle w:val="TextBody"/>
        <w:bidi w:val="0"/>
        <w:spacing w:before="0" w:after="16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15010"/>
                <wp:effectExtent l="0" t="0" r="0" b="0"/>
                <wp:wrapNone/>
                <wp:docPr id="116" name="Frame115"/>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9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9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pPr>
      <w:r>
        <w:rPr>
          <w:rFonts w:ascii="Times New Roman;serif" w:hAnsi="Times New Roman;serif"/>
          <w:b w:val="false"/>
          <w:color w:val="000000"/>
          <w:sz w:val="25"/>
        </w:rPr>
        <w:t>15. </w:t>
      </w:r>
      <w:r>
        <w:rPr>
          <w:rFonts w:ascii="Times New Roman;serif" w:hAnsi="Times New Roman;serif"/>
          <w:b w:val="false"/>
          <w:color w:val="000000"/>
          <w:sz w:val="25"/>
          <w:u w:val="single"/>
        </w:rPr>
        <w:t>Counterparts</w:t>
      </w:r>
      <w:r>
        <w:rPr>
          <w:rFonts w:ascii="Times New Roman;serif" w:hAnsi="Times New Roman;serif"/>
          <w:b w:val="false"/>
          <w:color w:val="000000"/>
          <w:sz w:val="25"/>
        </w:rPr>
        <w:t xml:space="preserve">. This Agreement may be executed in two counterparts, each of which shall be deemed to be an original, but both of which together shall constitute one and the same Agreement. </w:t>
      </w:r>
    </w:p>
    <w:p>
      <w:pPr>
        <w:pStyle w:val="TextBody"/>
        <w:bidi w:val="0"/>
        <w:spacing w:lineRule="auto" w:line="300" w:before="0" w:after="160"/>
        <w:jc w:val="left"/>
        <w:rPr/>
      </w:pPr>
      <w:r>
        <w:rPr>
          <w:rFonts w:ascii="Times New Roman;serif" w:hAnsi="Times New Roman;serif"/>
          <w:b w:val="false"/>
          <w:color w:val="000000"/>
          <w:sz w:val="25"/>
        </w:rPr>
        <w:t>16. </w:t>
      </w:r>
      <w:r>
        <w:rPr>
          <w:rFonts w:ascii="Times New Roman;serif" w:hAnsi="Times New Roman;serif"/>
          <w:b w:val="false"/>
          <w:color w:val="000000"/>
          <w:sz w:val="25"/>
          <w:u w:val="single"/>
        </w:rPr>
        <w:t>Entire Agreement; Prior Employment Agreements</w:t>
      </w:r>
      <w:r>
        <w:rPr>
          <w:rFonts w:ascii="Times New Roman;serif" w:hAnsi="Times New Roman;serif"/>
          <w:b w:val="false"/>
          <w:color w:val="000000"/>
          <w:sz w:val="25"/>
        </w:rPr>
        <w:t>. The terms of this Agreement, together with the Equity Compensation Agreements are intended by the parties to be the final expression of their agreement with respect to the employment of the Executive by the Company as of and after the Effective Date, and such Agreement may not be contradicted by evidence of any prior or contemporaneous agreement. The parties further intend that this Agreement, and the aforementioned contemporaneous documents, shall constitute the complete and exclusive statement of its terms and that no extrinsic evidence whatsoever may be introduced in any judicial, administrative, or other legal proceeding to vary the terms of this Agreement.</w:t>
      </w:r>
    </w:p>
    <w:p>
      <w:pPr>
        <w:pStyle w:val="TextBody"/>
        <w:bidi w:val="0"/>
        <w:spacing w:lineRule="auto" w:line="300" w:before="0" w:after="160"/>
        <w:jc w:val="left"/>
        <w:rPr/>
      </w:pPr>
      <w:r>
        <w:rPr>
          <w:rFonts w:ascii="Times New Roman;serif" w:hAnsi="Times New Roman;serif"/>
          <w:b w:val="false"/>
          <w:color w:val="000000"/>
          <w:sz w:val="25"/>
        </w:rPr>
        <w:t>17. </w:t>
      </w:r>
      <w:r>
        <w:rPr>
          <w:rFonts w:ascii="Times New Roman;serif" w:hAnsi="Times New Roman;serif"/>
          <w:b w:val="false"/>
          <w:color w:val="000000"/>
          <w:sz w:val="25"/>
          <w:u w:val="single"/>
        </w:rPr>
        <w:t>Amendments; Waivers</w:t>
      </w:r>
      <w:r>
        <w:rPr>
          <w:rFonts w:ascii="Times New Roman;serif" w:hAnsi="Times New Roman;serif"/>
          <w:b w:val="false"/>
          <w:color w:val="000000"/>
          <w:sz w:val="25"/>
        </w:rPr>
        <w:t>. This Agreement may not be modified, amended, or terminated except by an instrument in writing, signed by the Executive and the Chief Executive Officer. By an instrument in writing similarly executed, the Executive or the Company may waive compliance by the other party or parties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preclude any other or further exercise of any other right, remedy or power provided herein or by law or in equity.</w:t>
      </w:r>
    </w:p>
    <w:p>
      <w:pPr>
        <w:pStyle w:val="TextBody"/>
        <w:bidi w:val="0"/>
        <w:spacing w:lineRule="auto" w:line="300" w:before="0" w:after="160"/>
        <w:jc w:val="left"/>
        <w:rPr/>
      </w:pPr>
      <w:r>
        <w:rPr>
          <w:rFonts w:ascii="Times New Roman;serif" w:hAnsi="Times New Roman;serif"/>
          <w:b w:val="false"/>
          <w:color w:val="000000"/>
          <w:sz w:val="25"/>
        </w:rPr>
        <w:t>18. </w:t>
      </w:r>
      <w:r>
        <w:rPr>
          <w:rFonts w:ascii="Times New Roman;serif" w:hAnsi="Times New Roman;serif"/>
          <w:b w:val="false"/>
          <w:color w:val="000000"/>
          <w:sz w:val="25"/>
          <w:u w:val="single"/>
        </w:rPr>
        <w:t>No Inconsistent Actions</w:t>
      </w:r>
      <w:r>
        <w:rPr>
          <w:rFonts w:ascii="Times New Roman;serif" w:hAnsi="Times New Roman;serif"/>
          <w:b w:val="false"/>
          <w:color w:val="000000"/>
          <w:sz w:val="25"/>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pStyle w:val="TextBody"/>
        <w:bidi w:val="0"/>
        <w:spacing w:lineRule="auto" w:line="300" w:before="0" w:after="160"/>
        <w:jc w:val="left"/>
        <w:rPr/>
      </w:pPr>
      <w:r>
        <w:rPr>
          <w:rFonts w:ascii="Times New Roman;serif" w:hAnsi="Times New Roman;serif"/>
          <w:b w:val="false"/>
          <w:color w:val="000000"/>
          <w:sz w:val="25"/>
        </w:rPr>
        <w:t>19. </w:t>
      </w:r>
      <w:r>
        <w:rPr>
          <w:rFonts w:ascii="Times New Roman;serif" w:hAnsi="Times New Roman;serif"/>
          <w:b w:val="false"/>
          <w:color w:val="000000"/>
          <w:sz w:val="25"/>
          <w:u w:val="single"/>
        </w:rPr>
        <w:t>Arbitration</w:t>
      </w:r>
      <w:r>
        <w:rPr>
          <w:rFonts w:ascii="Times New Roman;serif" w:hAnsi="Times New Roman;serif"/>
          <w:b w:val="false"/>
          <w:color w:val="000000"/>
          <w:sz w:val="25"/>
        </w:rPr>
        <w:t>. Any dispute or controversy arising under or in connection with this Agreement shall be settled exclusively by arbitration, conducted before a panel of three arbitrators in Cleveland, Ohio, in accordance with the rules of the American Arbitration Association then in effect. Judgment may be entered on the arbitrator’s award in any court having jurisdiction; </w:t>
      </w:r>
      <w:r>
        <w:rPr>
          <w:rFonts w:ascii="Times New Roman;serif" w:hAnsi="Times New Roman;serif"/>
          <w:b w:val="false"/>
          <w:color w:val="000000"/>
          <w:sz w:val="25"/>
          <w:u w:val="single"/>
        </w:rPr>
        <w:t>provided</w:t>
      </w:r>
      <w:r>
        <w:rPr>
          <w:rFonts w:ascii="Times New Roman;serif" w:hAnsi="Times New Roman;serif"/>
          <w:b w:val="false"/>
          <w:color w:val="000000"/>
          <w:sz w:val="25"/>
        </w:rPr>
        <w:t>, </w:t>
      </w:r>
      <w:r>
        <w:rPr>
          <w:rFonts w:ascii="Times New Roman;serif" w:hAnsi="Times New Roman;serif"/>
          <w:b w:val="false"/>
          <w:color w:val="000000"/>
          <w:sz w:val="25"/>
          <w:u w:val="single"/>
        </w:rPr>
        <w:t>however</w:t>
      </w:r>
      <w:r>
        <w:rPr>
          <w:rFonts w:ascii="Times New Roman;serif" w:hAnsi="Times New Roman;serif"/>
          <w:b w:val="false"/>
          <w:color w:val="000000"/>
          <w:sz w:val="25"/>
        </w:rPr>
        <w:t>, that the Company shall be entitled to seek a restraining order or injunction in any court of competent jurisdiction to prevent any continuation of any violation of the provisions of Section 7 or 8 of this Agreement and the Executive hereby consents that such restraining order or injunction may be granted without the necessity of the Company’s posting any bond; and </w:t>
      </w:r>
      <w:r>
        <w:rPr>
          <w:rFonts w:ascii="Times New Roman;serif" w:hAnsi="Times New Roman;serif"/>
          <w:b w:val="false"/>
          <w:color w:val="000000"/>
          <w:sz w:val="25"/>
          <w:u w:val="single"/>
        </w:rPr>
        <w:t>provided further</w:t>
      </w:r>
      <w:r>
        <w:rPr>
          <w:rFonts w:ascii="Times New Roman;serif" w:hAnsi="Times New Roman;serif"/>
          <w:b w:val="false"/>
          <w:color w:val="000000"/>
          <w:sz w:val="25"/>
        </w:rPr>
        <w:t>, that the Executive shall be entitled to seek specific performance of the Executive’s right to be paid until the Date of Termination during the pendency of any dispute or controversy arising under or in connection with this Agreement. Each of the parties hereto shall bear its share of the fees and expenses of any arbitration hereunder.</w:t>
      </w:r>
    </w:p>
    <w:p>
      <w:pPr>
        <w:pStyle w:val="TextBody"/>
        <w:bidi w:val="0"/>
        <w:spacing w:before="0" w:after="16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15010"/>
                <wp:effectExtent l="0" t="0" r="0" b="0"/>
                <wp:wrapNone/>
                <wp:docPr id="117" name="Frame116"/>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10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10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117" w:after="120"/>
        <w:jc w:val="left"/>
        <w:rPr/>
      </w:pPr>
      <w:r>
        <w:rPr>
          <w:rFonts w:ascii="Times New Roman;serif" w:hAnsi="Times New Roman;serif"/>
          <w:b w:val="false"/>
          <w:color w:val="000000"/>
          <w:sz w:val="25"/>
        </w:rPr>
        <w:t>20. </w:t>
      </w:r>
      <w:r>
        <w:rPr>
          <w:rFonts w:ascii="Times New Roman;serif" w:hAnsi="Times New Roman;serif"/>
          <w:b w:val="false"/>
          <w:color w:val="000000"/>
          <w:sz w:val="25"/>
          <w:u w:val="single"/>
        </w:rPr>
        <w:t>Indemnification and Insurance; Legal Expenses</w:t>
      </w:r>
      <w:r>
        <w:rPr>
          <w:rFonts w:ascii="Times New Roman;serif" w:hAnsi="Times New Roman;serif"/>
          <w:b w:val="false"/>
          <w:color w:val="000000"/>
          <w:sz w:val="25"/>
        </w:rPr>
        <w:t>. During the Term and so long as the Executive has not breached any of the Executive’s obligations set forth in Sections 7 and 8, the Company shall indemnify the Executive to the fullest extent permitted by the laws of the State of Delaware, as in effect at the time of the subject act or omission, and shall advance to the Executive reasonable attorneys’ fees and expenses as such fees and expenses are incurred (subject to an undertaking from the Executive to repay such advances if it shall be finally determined by a judicial decision which is not subject to further appeal that the Executive was not entitled to the reimbursement of such fees and expenses) and he shall be entitled to the protection of any insurance policies the Company shall elect to maintain generally for the benefit of its directors and officers (“Directors and Officers Insurance”) against all costs, charges and expenses incurred or sustained by the Executive in connection with any action, suit or proceeding to which the Executive may be made a party by reason of the Executive being or having been a director, officer or employee of the Company or any of its subsidiaries or the Executive serving or having served any other enterprise as a director, officer or employee at the request of the Company (other than any dispute, claim or controversy arising under or relating to this Agreement). The Company covenants to maintain during the Term for the benefit of the Executive (in the Executive’s capacity as an officer and director of the Company) Directors and Officers Insurance providing customary benefits to the Executive.</w:t>
      </w:r>
    </w:p>
    <w:p>
      <w:pPr>
        <w:pStyle w:val="TextBody"/>
        <w:bidi w:val="0"/>
        <w:spacing w:lineRule="auto" w:line="300" w:before="0" w:after="160"/>
        <w:jc w:val="left"/>
        <w:rPr/>
      </w:pPr>
      <w:r>
        <w:rPr>
          <w:rFonts w:ascii="Times New Roman;serif" w:hAnsi="Times New Roman;serif"/>
          <w:b w:val="false"/>
          <w:color w:val="000000"/>
          <w:sz w:val="25"/>
        </w:rPr>
        <w:t xml:space="preserve">21. </w:t>
      </w:r>
      <w:r>
        <w:rPr>
          <w:rFonts w:ascii="Times New Roman;serif" w:hAnsi="Times New Roman;serif"/>
          <w:b w:val="false"/>
          <w:color w:val="000000"/>
          <w:sz w:val="25"/>
          <w:u w:val="single"/>
        </w:rPr>
        <w:t>Clawback</w:t>
      </w:r>
      <w:r>
        <w:rPr>
          <w:rFonts w:ascii="Times New Roman;serif" w:hAnsi="Times New Roman;serif"/>
          <w:b w:val="false"/>
          <w:color w:val="000000"/>
          <w:sz w:val="25"/>
        </w:rPr>
        <w:t>. Notwithstanding anything in this Agreement to the contrary, the Executive acknowledges and agrees that this Agreement and any compensation described herein are subject to the terms and conditions of the Company’s clawback policy or policies (if any) as may be in effect from time to time, including specifically to implement Section 10D of the Securities Exchange Act of 1934, as amended, and any applicable rules or regulations promulgated thereunder (including applicable rules and regulations of any national securities exchange on which the Common Stock may be traded) (collectively, the “Compensation Recovery Policy”), and that applicable sections of this Agreement and any related documents shall be deemed superseded by and subject to the terms and conditions of the Compensation Recovery Policy from and after the Effective Date thereof.</w:t>
      </w:r>
    </w:p>
    <w:p>
      <w:pPr>
        <w:pStyle w:val="TextBody"/>
        <w:bidi w:val="0"/>
        <w:spacing w:lineRule="auto" w:line="300" w:before="234" w:after="160"/>
        <w:jc w:val="center"/>
        <w:rPr>
          <w:rFonts w:ascii="Times New Roman;serif" w:hAnsi="Times New Roman;serif"/>
          <w:b w:val="false"/>
          <w:color w:val="000000"/>
          <w:sz w:val="25"/>
        </w:rPr>
      </w:pPr>
      <w:r>
        <w:rPr>
          <w:rFonts w:ascii="Times New Roman;serif" w:hAnsi="Times New Roman;serif"/>
          <w:b w:val="false"/>
          <w:color w:val="000000"/>
          <w:sz w:val="25"/>
        </w:rPr>
        <w:t xml:space="preserve">(SIGNATURE PAGE FOLLOWS) </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15010"/>
                <wp:effectExtent l="0" t="0" r="0" b="0"/>
                <wp:wrapNone/>
                <wp:docPr id="118" name="Frame117"/>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r>
                              <w:br w:type="page"/>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11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11 of 12</w:t>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5"/>
        </w:rPr>
      </w:pPr>
      <w:r>
        <w:rPr>
          <w:rFonts w:ascii="Times New Roman;serif" w:hAnsi="Times New Roman;serif"/>
          <w:b w:val="false"/>
          <w:color w:val="000000"/>
          <w:sz w:val="25"/>
        </w:rPr>
        <w:t>IN WITNESS WHEREOF, the parties have executed this Agreement on the date and year first above written.</w:t>
      </w:r>
    </w:p>
    <w:p>
      <w:pPr>
        <w:pStyle w:val="TextBody"/>
        <w:bidi w:val="0"/>
        <w:spacing w:before="0" w:after="160"/>
        <w:jc w:val="left"/>
        <w:rPr/>
      </w:pPr>
      <w:r>
        <w:rPr/>
      </w:r>
    </w:p>
    <w:tbl>
      <w:tblPr>
        <w:tblW w:w="5587" w:type="dxa"/>
        <w:jc w:val="left"/>
        <w:tblInd w:w="0" w:type="dxa"/>
        <w:tblLayout w:type="fixed"/>
        <w:tblCellMar>
          <w:top w:w="28" w:type="dxa"/>
          <w:left w:w="28" w:type="dxa"/>
          <w:bottom w:w="28" w:type="dxa"/>
          <w:right w:w="28" w:type="dxa"/>
        </w:tblCellMar>
      </w:tblPr>
      <w:tblGrid>
        <w:gridCol w:w="538"/>
        <w:gridCol w:w="473"/>
        <w:gridCol w:w="473"/>
        <w:gridCol w:w="473"/>
        <w:gridCol w:w="473"/>
        <w:gridCol w:w="473"/>
        <w:gridCol w:w="782"/>
        <w:gridCol w:w="782"/>
        <w:gridCol w:w="1120"/>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5587" w:type="dxa"/>
            <w:gridSpan w:val="9"/>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TRANSDIGM GROUP INCORPORATED</w:t>
            </w:r>
          </w:p>
        </w:tc>
      </w:tr>
      <w:tr>
        <w:trPr/>
        <w:tc>
          <w:tcPr>
            <w:tcW w:w="1484"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4103" w:type="dxa"/>
            <w:gridSpan w:val="6"/>
            <w:tcBorders/>
            <w:tcMar>
              <w:top w:w="0" w:type="dxa"/>
              <w:left w:w="0" w:type="dxa"/>
              <w:bottom w:w="0" w:type="dxa"/>
              <w:right w:w="0" w:type="dxa"/>
            </w:tcMar>
            <w:vAlign w:val="center"/>
          </w:tcPr>
          <w:p>
            <w:pPr>
              <w:pStyle w:val="TableContents"/>
              <w:bidi w:val="0"/>
              <w:spacing w:before="0" w:after="120"/>
              <w:jc w:val="left"/>
              <w:rPr/>
            </w:pPr>
            <w:r>
              <w:rPr/>
            </w:r>
          </w:p>
        </w:tc>
      </w:tr>
      <w:tr>
        <w:trPr/>
        <w:tc>
          <w:tcPr>
            <w:tcW w:w="1484"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By:</w:t>
            </w:r>
          </w:p>
        </w:tc>
        <w:tc>
          <w:tcPr>
            <w:tcW w:w="1419"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684"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 Kevin Stein</w:t>
            </w:r>
          </w:p>
        </w:tc>
      </w:tr>
      <w:tr>
        <w:trPr/>
        <w:tc>
          <w:tcPr>
            <w:tcW w:w="1484"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Name:</w:t>
            </w:r>
          </w:p>
        </w:tc>
        <w:tc>
          <w:tcPr>
            <w:tcW w:w="1419"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Kevin Stein</w:t>
            </w:r>
          </w:p>
        </w:tc>
      </w:tr>
      <w:tr>
        <w:trPr/>
        <w:tc>
          <w:tcPr>
            <w:tcW w:w="1484"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Title:</w:t>
            </w:r>
          </w:p>
        </w:tc>
        <w:tc>
          <w:tcPr>
            <w:tcW w:w="1419" w:type="dxa"/>
            <w:gridSpan w:val="3"/>
            <w:tcBorders/>
            <w:tcMar>
              <w:top w:w="0" w:type="dxa"/>
              <w:left w:w="0" w:type="dxa"/>
              <w:bottom w:w="0" w:type="dxa"/>
              <w:right w:w="0" w:type="dxa"/>
            </w:tcMar>
            <w:vAlign w:val="center"/>
          </w:tcPr>
          <w:p>
            <w:pPr>
              <w:pStyle w:val="TableContents"/>
              <w:bidi w:val="0"/>
              <w:spacing w:before="0" w:after="120"/>
              <w:jc w:val="left"/>
              <w:rPr/>
            </w:pPr>
            <w:r>
              <w:rPr/>
            </w:r>
          </w:p>
        </w:tc>
        <w:tc>
          <w:tcPr>
            <w:tcW w:w="2684"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Chief Executive Officer</w:t>
            </w:r>
          </w:p>
        </w:tc>
      </w:tr>
      <w:tr>
        <w:trPr/>
        <w:tc>
          <w:tcPr>
            <w:tcW w:w="5587" w:type="dxa"/>
            <w:gridSpan w:val="9"/>
            <w:tcBorders/>
            <w:tcMar>
              <w:top w:w="0" w:type="dxa"/>
              <w:left w:w="0" w:type="dxa"/>
              <w:bottom w:w="0" w:type="dxa"/>
              <w:right w:w="0" w:type="dxa"/>
            </w:tcMar>
            <w:vAlign w:val="center"/>
          </w:tcPr>
          <w:p>
            <w:pPr>
              <w:pStyle w:val="TableContents"/>
              <w:bidi w:val="0"/>
              <w:spacing w:before="0" w:after="120"/>
              <w:jc w:val="left"/>
              <w:rPr/>
            </w:pPr>
            <w:r>
              <w:rPr/>
            </w:r>
          </w:p>
        </w:tc>
      </w:tr>
      <w:tr>
        <w:trPr/>
        <w:tc>
          <w:tcPr>
            <w:tcW w:w="5587" w:type="dxa"/>
            <w:gridSpan w:val="9"/>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EXECUTIVE</w:t>
            </w:r>
          </w:p>
        </w:tc>
      </w:tr>
      <w:tr>
        <w:trPr/>
        <w:tc>
          <w:tcPr>
            <w:tcW w:w="5587" w:type="dxa"/>
            <w:gridSpan w:val="9"/>
            <w:tcBorders/>
            <w:tcMar>
              <w:top w:w="0" w:type="dxa"/>
              <w:left w:w="0" w:type="dxa"/>
              <w:bottom w:w="0" w:type="dxa"/>
              <w:right w:w="0" w:type="dxa"/>
            </w:tcMar>
            <w:vAlign w:val="center"/>
          </w:tcPr>
          <w:p>
            <w:pPr>
              <w:pStyle w:val="TableContents"/>
              <w:bidi w:val="0"/>
              <w:spacing w:before="0" w:after="120"/>
              <w:jc w:val="left"/>
              <w:rPr/>
            </w:pPr>
            <w:r>
              <w:rPr/>
            </w:r>
          </w:p>
        </w:tc>
      </w:tr>
      <w:tr>
        <w:trPr/>
        <w:tc>
          <w:tcPr>
            <w:tcW w:w="5587"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 Armani Vadiee</w:t>
            </w:r>
          </w:p>
        </w:tc>
      </w:tr>
      <w:tr>
        <w:trPr/>
        <w:tc>
          <w:tcPr>
            <w:tcW w:w="558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5"/>
              </w:rPr>
            </w:pPr>
            <w:r>
              <w:rPr>
                <w:rFonts w:ascii="Times New Roman;serif" w:hAnsi="Times New Roman;serif"/>
                <w:b w:val="false"/>
                <w:color w:val="000000"/>
                <w:sz w:val="25"/>
              </w:rPr>
              <w:t xml:space="preserve">Armani Vadiee </w:t>
            </w:r>
          </w:p>
        </w:tc>
      </w:tr>
    </w:tbl>
    <w:p>
      <w:pPr>
        <w:pStyle w:val="TextBody"/>
        <w:bidi w:val="0"/>
        <w:spacing w:before="0" w:after="12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200"/>
        <w:jc w:val="right"/>
        <w:rPr>
          <w:rFonts w:ascii="Times New Roman;serif" w:hAnsi="Times New Roman;serif"/>
          <w:b/>
          <w:color w:val="000000"/>
          <w:sz w:val="20"/>
        </w:rPr>
      </w:pPr>
      <w:r>
        <w:rPr>
          <w:rFonts w:ascii="Times New Roman;serif" w:hAnsi="Times New Roman;serif"/>
          <w:b/>
          <w:color w:val="000000"/>
          <w:sz w:val="20"/>
        </w:rPr>
        <w:t>Exhibit 10.23</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15010"/>
                <wp:effectExtent l="0" t="0" r="0" b="0"/>
                <wp:wrapNone/>
                <wp:docPr id="119" name="Frame118"/>
                <a:graphic xmlns:a="http://schemas.openxmlformats.org/drawingml/2006/main">
                  <a:graphicData uri="http://schemas.microsoft.com/office/word/2010/wordprocessingShape">
                    <wps:wsp>
                      <wps:cNvSpPr txBox="1"/>
                      <wps:spPr>
                        <a:xfrm>
                          <a:off x="0" y="0"/>
                          <a:ext cx="6480175" cy="715010"/>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12 of 12</w:t>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3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Employment Agreement Armani Vadiee</w:t>
                      </w:r>
                    </w:p>
                    <w:p>
                      <w:pPr>
                        <w:pStyle w:val="TextBody"/>
                        <w:bidi w:val="0"/>
                        <w:spacing w:lineRule="auto" w:line="300" w:before="0" w:after="160"/>
                        <w:jc w:val="right"/>
                        <w:rPr>
                          <w:color w:val="000000"/>
                        </w:rPr>
                      </w:pPr>
                      <w:r>
                        <w:rPr>
                          <w:color w:val="000000"/>
                        </w:rPr>
                        <w:t>        </w:t>
                      </w:r>
                      <w:r>
                        <w:rPr>
                          <w:rFonts w:ascii="Times New Roman;serif" w:hAnsi="Times New Roman;serif"/>
                          <w:b/>
                          <w:color w:val="000000"/>
                          <w:sz w:val="24"/>
                        </w:rPr>
                        <w:t>Page 12 of 12</w:t>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FORM OF OPTION AGREEMENT (FY26)</w:t>
      </w:r>
    </w:p>
    <w:p>
      <w:pPr>
        <w:pStyle w:val="TextBody"/>
        <w:bidi w:val="0"/>
        <w:spacing w:before="0" w:after="0"/>
        <w:ind w:left="0" w:right="0" w:firstLine="490"/>
        <w:jc w:val="center"/>
        <w:rPr/>
      </w:pPr>
      <w:r>
        <w:rPr/>
      </w:r>
    </w:p>
    <w:p>
      <w:pPr>
        <w:pStyle w:val="TextBody"/>
        <w:bidi w:val="0"/>
        <w:spacing w:lineRule="auto" w:line="28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EXECUTIVE OFFICER AND DIRECTOR FIVE-YEAR GRANT AND EXTENSION GRANT AND CEO SALARY GRANT</w:t>
      </w:r>
    </w:p>
    <w:p>
      <w:pPr>
        <w:pStyle w:val="TextBody"/>
        <w:bidi w:val="0"/>
        <w:spacing w:before="0" w:after="0"/>
        <w:ind w:left="0" w:right="0" w:firstLine="490"/>
        <w:jc w:val="center"/>
        <w:rPr/>
      </w:pPr>
      <w:r>
        <w:rPr/>
      </w:r>
    </w:p>
    <w:p>
      <w:pPr>
        <w:pStyle w:val="TextBody"/>
        <w:bidi w:val="0"/>
        <w:spacing w:lineRule="auto" w:line="28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STOCK OPTION GRANT NOTICE AND STOCK OPTION AGREEMENT</w:t>
      </w:r>
    </w:p>
    <w:p>
      <w:pPr>
        <w:pStyle w:val="TextBody"/>
        <w:bidi w:val="0"/>
        <w:spacing w:lineRule="auto" w:line="288" w:before="180" w:after="283"/>
        <w:ind w:left="0" w:right="0" w:firstLine="490"/>
        <w:jc w:val="left"/>
        <w:rPr/>
      </w:pPr>
      <w:r>
        <w:rPr>
          <w:rFonts w:ascii="Times New Roman;serif" w:hAnsi="Times New Roman;serif"/>
          <w:b w:val="false"/>
          <w:color w:val="000000"/>
          <w:sz w:val="20"/>
        </w:rPr>
        <w:t>TransDigm Group Incorporated,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pursuant to the TransDigm Group Incorporated 2019 Stock Option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hereby grants to the holder listed below (“</w:t>
      </w:r>
      <w:r>
        <w:rPr>
          <w:rFonts w:ascii="Times New Roman;serif" w:hAnsi="Times New Roman;serif"/>
          <w:b/>
          <w:i/>
          <w:color w:val="000000"/>
          <w:sz w:val="20"/>
        </w:rPr>
        <w:t>Participant</w:t>
      </w:r>
      <w:r>
        <w:rPr>
          <w:color w:val="000000"/>
        </w:rPr>
        <w:t>”</w:t>
      </w:r>
      <w:r>
        <w:rPr>
          <w:rFonts w:ascii="Times New Roman;serif" w:hAnsi="Times New Roman;serif"/>
          <w:b w:val="false"/>
          <w:color w:val="000000"/>
          <w:sz w:val="20"/>
        </w:rPr>
        <w:t>), an option to purchase the number of shares of the Company’s common stock, par value $0.01 (“</w:t>
      </w:r>
      <w:r>
        <w:rPr>
          <w:rFonts w:ascii="Times New Roman;serif" w:hAnsi="Times New Roman;serif"/>
          <w:b/>
          <w:i/>
          <w:color w:val="000000"/>
          <w:sz w:val="20"/>
        </w:rPr>
        <w:t>Stock</w:t>
      </w:r>
      <w:r>
        <w:rPr>
          <w:color w:val="000000"/>
        </w:rPr>
        <w:t>”</w:t>
      </w:r>
      <w:r>
        <w:rPr>
          <w:rFonts w:ascii="Times New Roman;serif" w:hAnsi="Times New Roman;serif"/>
          <w:b w:val="false"/>
          <w:color w:val="000000"/>
          <w:sz w:val="20"/>
        </w:rPr>
        <w:t>), set forth below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 xml:space="preserve">). This Option is subject to all of the terms and conditions set forth herein and in the Stock Option Agreement, including any applicable country-specific terms, attached hereto as </w:t>
      </w:r>
      <w:r>
        <w:rPr>
          <w:rFonts w:ascii="Times New Roman;serif" w:hAnsi="Times New Roman;serif"/>
          <w:b w:val="false"/>
          <w:color w:val="000000"/>
          <w:sz w:val="20"/>
          <w:u w:val="single"/>
        </w:rPr>
        <w:t>Exhibit A</w:t>
      </w:r>
      <w:r>
        <w:rPr>
          <w:color w:val="000000"/>
        </w:rPr>
        <w:t xml:space="preserve"> </w:t>
      </w:r>
      <w:r>
        <w:rPr>
          <w:rFonts w:ascii="Times New Roman;serif" w:hAnsi="Times New Roman;serif"/>
          <w:b w:val="false"/>
          <w:color w:val="000000"/>
          <w:sz w:val="20"/>
        </w:rPr>
        <w:t>(the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xml:space="preserve">) and the Plan, which are incorporated herein by reference. Unless otherwise defined herein, the terms defined in the Plan shall have the same defined meanings in this Grant Notice and the Stock Option Agreement. </w:t>
      </w:r>
    </w:p>
    <w:tbl>
      <w:tblPr>
        <w:tblW w:w="10205" w:type="dxa"/>
        <w:jc w:val="left"/>
        <w:tblInd w:w="0" w:type="dxa"/>
        <w:tblLayout w:type="fixed"/>
        <w:tblCellMar>
          <w:top w:w="28" w:type="dxa"/>
          <w:left w:w="28" w:type="dxa"/>
          <w:bottom w:w="28" w:type="dxa"/>
          <w:right w:w="28" w:type="dxa"/>
        </w:tblCellMar>
      </w:tblPr>
      <w:tblGrid>
        <w:gridCol w:w="1265"/>
        <w:gridCol w:w="1114"/>
        <w:gridCol w:w="1120"/>
        <w:gridCol w:w="2013"/>
        <w:gridCol w:w="2013"/>
        <w:gridCol w:w="2680"/>
      </w:tblGrid>
      <w:tr>
        <w:trPr/>
        <w:tc>
          <w:tcPr>
            <w:tcW w:w="126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34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Participant:</w:t>
            </w:r>
          </w:p>
        </w:tc>
        <w:tc>
          <w:tcPr>
            <w:tcW w:w="67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w:t>
            </w:r>
          </w:p>
        </w:tc>
      </w:tr>
      <w:tr>
        <w:trPr/>
        <w:tc>
          <w:tcPr>
            <w:tcW w:w="34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Grant Date:</w:t>
            </w:r>
          </w:p>
        </w:tc>
        <w:tc>
          <w:tcPr>
            <w:tcW w:w="67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w:t>
            </w:r>
          </w:p>
        </w:tc>
      </w:tr>
      <w:tr>
        <w:trPr/>
        <w:tc>
          <w:tcPr>
            <w:tcW w:w="34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Exercise Price per Share:</w:t>
            </w:r>
          </w:p>
        </w:tc>
        <w:tc>
          <w:tcPr>
            <w:tcW w:w="67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w:t>
            </w:r>
          </w:p>
        </w:tc>
      </w:tr>
      <w:tr>
        <w:trPr/>
        <w:tc>
          <w:tcPr>
            <w:tcW w:w="34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Total Number of Shares Subject to the Option:</w:t>
            </w:r>
          </w:p>
        </w:tc>
        <w:tc>
          <w:tcPr>
            <w:tcW w:w="6706" w:type="dxa"/>
            <w:gridSpan w:val="3"/>
            <w:tcBorders/>
            <w:tcMar>
              <w:top w:w="0" w:type="dxa"/>
              <w:left w:w="0" w:type="dxa"/>
              <w:bottom w:w="0" w:type="dxa"/>
              <w:right w:w="0" w:type="dxa"/>
            </w:tcMar>
            <w:vAlign w:val="center"/>
          </w:tcPr>
          <w:p>
            <w:pPr>
              <w:pStyle w:val="TableContents"/>
              <w:bidi w:val="0"/>
              <w:spacing w:lineRule="auto" w:line="288" w:before="180" w:after="283"/>
              <w:jc w:val="left"/>
              <w:rPr/>
            </w:pPr>
            <w:r>
              <w:rPr>
                <w:rFonts w:ascii="Times New Roman;serif" w:hAnsi="Times New Roman;serif"/>
                <w:b w:val="false"/>
                <w:color w:val="000000"/>
                <w:sz w:val="24"/>
              </w:rPr>
              <w:t>________________________________________________</w:t>
            </w:r>
            <w:r>
              <w:rPr>
                <w:color w:val="000000"/>
              </w:rPr>
              <w:t xml:space="preserve"> </w:t>
            </w:r>
            <w:r>
              <w:rPr>
                <w:rFonts w:ascii="Times New Roman;serif" w:hAnsi="Times New Roman;serif"/>
                <w:b/>
                <w:color w:val="000000"/>
                <w:sz w:val="20"/>
              </w:rPr>
              <w:t>Shares</w:t>
            </w:r>
          </w:p>
        </w:tc>
      </w:tr>
      <w:tr>
        <w:trPr/>
        <w:tc>
          <w:tcPr>
            <w:tcW w:w="349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Expiration Date:</w:t>
            </w:r>
          </w:p>
        </w:tc>
        <w:tc>
          <w:tcPr>
            <w:tcW w:w="67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w:t>
            </w:r>
          </w:p>
        </w:tc>
      </w:tr>
    </w:tbl>
    <w:tbl>
      <w:tblPr>
        <w:tblW w:w="10205" w:type="dxa"/>
        <w:jc w:val="left"/>
        <w:tblInd w:w="0" w:type="dxa"/>
        <w:tblLayout w:type="fixed"/>
        <w:tblCellMar>
          <w:top w:w="28" w:type="dxa"/>
          <w:left w:w="28" w:type="dxa"/>
          <w:bottom w:w="28" w:type="dxa"/>
          <w:right w:w="28" w:type="dxa"/>
        </w:tblCellMar>
      </w:tblPr>
      <w:tblGrid>
        <w:gridCol w:w="456"/>
        <w:gridCol w:w="290"/>
        <w:gridCol w:w="291"/>
        <w:gridCol w:w="109"/>
        <w:gridCol w:w="109"/>
        <w:gridCol w:w="109"/>
        <w:gridCol w:w="2589"/>
        <w:gridCol w:w="2589"/>
        <w:gridCol w:w="3663"/>
      </w:tblGrid>
      <w:tr>
        <w:trPr/>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Type of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Incentive Stock Option Non-Qualified Stock Option</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Subject to the terms of the Stock Option Agreement (including without limitation all exhibits thereto), the Option shall be eligible to become exercisable upon the achievement of performance objectives over the period set forth in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hereto (provided that the Participant is an Eligible Person (as defined in the Plan) at all times during the period beginning on the Grant Date and ending on the applicable vesting date):</w:t>
            </w:r>
          </w:p>
        </w:tc>
      </w:tr>
    </w:tbl>
    <w:p>
      <w:pPr>
        <w:pStyle w:val="TextBody"/>
        <w:bidi w:val="0"/>
        <w:spacing w:lineRule="auto" w:line="288" w:before="180" w:after="283"/>
        <w:ind w:left="0" w:right="0" w:firstLine="490"/>
        <w:jc w:val="left"/>
        <w:rPr/>
      </w:pPr>
      <w:r>
        <w:rPr>
          <w:rFonts w:ascii="Times New Roman;serif" w:hAnsi="Times New Roman;serif"/>
          <w:b w:val="false"/>
          <w:color w:val="000000"/>
          <w:sz w:val="20"/>
        </w:rPr>
        <w:t xml:space="preserve">By his or her signature, the Participant agrees to be bound by the terms and conditions of the Plan, the Stock Option Agreement and this Grant Notice. The Participant has reviewed the Agreement, including any applicable country-specific terms, the Plan and this Grant Notice in their entirety, has had an opportunity to obtain the advice of counsel prior to executing this Grant Notice and fully understands all provisions of this Grant Notice, the Agreement and the Plan. The Participant agrees that as a condition to receiving the Option, the Participant shall comply with the Stock Retention Guidelines set forth on </w:t>
      </w:r>
      <w:r>
        <w:rPr>
          <w:rFonts w:ascii="Times New Roman;serif" w:hAnsi="Times New Roman;serif"/>
          <w:b w:val="false"/>
          <w:color w:val="000000"/>
          <w:sz w:val="20"/>
          <w:u w:val="single"/>
        </w:rPr>
        <w:t>Exhibit C</w:t>
      </w:r>
      <w:r>
        <w:rPr>
          <w:rFonts w:ascii="Times New Roman;serif" w:hAnsi="Times New Roman;serif"/>
          <w:b w:val="false"/>
          <w:color w:val="000000"/>
          <w:sz w:val="20"/>
        </w:rPr>
        <w:t xml:space="preserve">. The Participant hereby agrees to accept as binding, conclusive and final all decisions or interpretations of the Committee upon any questions arising under the Plan or relating to the Option. </w:t>
      </w:r>
    </w:p>
    <w:tbl>
      <w:tblPr>
        <w:tblW w:w="6718" w:type="dxa"/>
        <w:jc w:val="left"/>
        <w:tblInd w:w="0" w:type="dxa"/>
        <w:tblLayout w:type="fixed"/>
        <w:tblCellMar>
          <w:top w:w="28" w:type="dxa"/>
          <w:left w:w="28" w:type="dxa"/>
          <w:bottom w:w="28" w:type="dxa"/>
          <w:right w:w="28" w:type="dxa"/>
        </w:tblCellMar>
      </w:tblPr>
      <w:tblGrid>
        <w:gridCol w:w="455"/>
        <w:gridCol w:w="399"/>
        <w:gridCol w:w="399"/>
        <w:gridCol w:w="399"/>
        <w:gridCol w:w="399"/>
        <w:gridCol w:w="399"/>
        <w:gridCol w:w="399"/>
        <w:gridCol w:w="399"/>
        <w:gridCol w:w="410"/>
        <w:gridCol w:w="109"/>
        <w:gridCol w:w="109"/>
        <w:gridCol w:w="109"/>
        <w:gridCol w:w="109"/>
        <w:gridCol w:w="109"/>
        <w:gridCol w:w="109"/>
        <w:gridCol w:w="109"/>
        <w:gridCol w:w="109"/>
        <w:gridCol w:w="109"/>
        <w:gridCol w:w="354"/>
        <w:gridCol w:w="354"/>
        <w:gridCol w:w="356"/>
        <w:gridCol w:w="157"/>
        <w:gridCol w:w="157"/>
        <w:gridCol w:w="157"/>
        <w:gridCol w:w="157"/>
        <w:gridCol w:w="157"/>
        <w:gridCol w:w="230"/>
      </w:tblGrid>
      <w:tr>
        <w:trPr/>
        <w:tc>
          <w:tcPr>
            <w:tcW w:w="45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8"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TRANSDIGM GROUP INCORPORATED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PARTICIPANT</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Print Name:</w:t>
            </w:r>
          </w:p>
        </w:tc>
        <w:tc>
          <w:tcPr>
            <w:tcW w:w="119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Print Name:</w:t>
            </w:r>
          </w:p>
        </w:tc>
        <w:tc>
          <w:tcPr>
            <w:tcW w:w="4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9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1197"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Address:</w:t>
            </w:r>
          </w:p>
        </w:tc>
        <w:tc>
          <w:tcPr>
            <w:tcW w:w="47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7665"/>
                <wp:effectExtent l="0" t="0" r="0" b="0"/>
                <wp:wrapNone/>
                <wp:docPr id="120" name="Frame11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rFonts w:ascii="Times New Roman;serif" w:hAnsi="Times New Roman;serif"/>
          <w:b/>
          <w:color w:val="000000"/>
          <w:sz w:val="20"/>
        </w:rPr>
      </w:pPr>
      <w:r>
        <w:rPr>
          <w:rFonts w:ascii="Times New Roman;serif" w:hAnsi="Times New Roman;serif"/>
          <w:b/>
          <w:color w:val="000000"/>
          <w:sz w:val="20"/>
        </w:rPr>
        <w:t xml:space="preserve">EXHIBIT A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TO STOCK OPTION GRANT NOTICE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STOCK OPTION AGREEMENT </w:t>
      </w:r>
    </w:p>
    <w:p>
      <w:pPr>
        <w:pStyle w:val="TextBody"/>
        <w:bidi w:val="0"/>
        <w:spacing w:lineRule="auto" w:line="288" w:before="180" w:after="283"/>
        <w:ind w:left="0" w:right="0" w:firstLine="490"/>
        <w:jc w:val="left"/>
        <w:rPr/>
      </w:pPr>
      <w:r>
        <w:rPr>
          <w:rFonts w:ascii="Times New Roman;serif" w:hAnsi="Times New Roman;serif"/>
          <w:b w:val="false"/>
          <w:color w:val="000000"/>
          <w:sz w:val="20"/>
        </w:rPr>
        <w:t>Pursuant to the Stock Option Grant Notice (the “</w:t>
      </w:r>
      <w:r>
        <w:rPr>
          <w:rFonts w:ascii="Times New Roman;serif" w:hAnsi="Times New Roman;serif"/>
          <w:b/>
          <w:i/>
          <w:color w:val="000000"/>
          <w:sz w:val="20"/>
        </w:rPr>
        <w:t>Grant Notice</w:t>
      </w:r>
      <w:r>
        <w:rPr>
          <w:color w:val="000000"/>
        </w:rPr>
        <w:t>”</w:t>
      </w:r>
      <w:r>
        <w:rPr>
          <w:rFonts w:ascii="Times New Roman;serif" w:hAnsi="Times New Roman;serif"/>
          <w:b w:val="false"/>
          <w:color w:val="000000"/>
          <w:sz w:val="20"/>
        </w:rPr>
        <w:t>) to which this Stock Option Agreement, including the Appendix containing any applicable country-specific provisions (together, this “</w:t>
      </w:r>
      <w:r>
        <w:rPr>
          <w:rFonts w:ascii="Times New Roman;serif" w:hAnsi="Times New Roman;serif"/>
          <w:b/>
          <w:i/>
          <w:color w:val="000000"/>
          <w:sz w:val="20"/>
        </w:rPr>
        <w:t>Agreement</w:t>
      </w:r>
      <w:r>
        <w:rPr>
          <w:color w:val="000000"/>
        </w:rPr>
        <w:t>”</w:t>
      </w:r>
      <w:r>
        <w:rPr>
          <w:rFonts w:ascii="Times New Roman;serif" w:hAnsi="Times New Roman;serif"/>
          <w:b w:val="false"/>
          <w:color w:val="000000"/>
          <w:sz w:val="20"/>
        </w:rPr>
        <w:t>), is attached, TransDigm Group Incorporated,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has granted to the Participant an option (the “</w:t>
      </w:r>
      <w:r>
        <w:rPr>
          <w:rFonts w:ascii="Times New Roman;serif" w:hAnsi="Times New Roman;serif"/>
          <w:b/>
          <w:i/>
          <w:color w:val="000000"/>
          <w:sz w:val="20"/>
        </w:rPr>
        <w:t>Option</w:t>
      </w:r>
      <w:r>
        <w:rPr>
          <w:color w:val="000000"/>
        </w:rPr>
        <w:t>”</w:t>
      </w:r>
      <w:r>
        <w:rPr>
          <w:rFonts w:ascii="Times New Roman;serif" w:hAnsi="Times New Roman;serif"/>
          <w:b w:val="false"/>
          <w:color w:val="000000"/>
          <w:sz w:val="20"/>
        </w:rPr>
        <w: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under the TransDigm Group Incorporated 2019 Stock Option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xml:space="preserve">) to purchase the number of shares of Stock indicated in the Grant Notice. </w:t>
      </w:r>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ARTICLE I.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1.1</w:t>
      </w:r>
      <w:r>
        <w:rPr>
          <w:color w:val="000000"/>
        </w:rPr>
        <w:t>    </w:t>
      </w:r>
      <w:r>
        <w:rPr>
          <w:rFonts w:ascii="Times New Roman;serif" w:hAnsi="Times New Roman;serif"/>
          <w:b w:val="false"/>
          <w:color w:val="000000"/>
          <w:sz w:val="20"/>
          <w:u w:val="single"/>
        </w:rPr>
        <w:t>Defined Terms</w:t>
      </w:r>
      <w:r>
        <w:rPr>
          <w:rFonts w:ascii="Times New Roman;serif" w:hAnsi="Times New Roman;serif"/>
          <w:b w:val="false"/>
          <w:color w:val="000000"/>
          <w:sz w:val="20"/>
        </w:rPr>
        <w:t xml:space="preserve">. Wherever the following terms are used in this Agreement they shall have the meanings specified below, unless the context clearly indicates otherwise. Capitalized terms not specifically defined herein shall have the meanings specified in the Plan and/or the Grant Notice.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i/>
          <w:color w:val="000000"/>
          <w:sz w:val="20"/>
        </w:rPr>
        <w:t>Administrator</w:t>
      </w:r>
      <w:r>
        <w:rPr>
          <w:color w:val="000000"/>
        </w:rPr>
        <w:t xml:space="preserve">” </w:t>
      </w:r>
      <w:r>
        <w:rPr>
          <w:rFonts w:ascii="Times New Roman;serif" w:hAnsi="Times New Roman;serif"/>
          <w:b w:val="false"/>
          <w:color w:val="000000"/>
          <w:sz w:val="20"/>
        </w:rPr>
        <w:t>shall mean the Board or the Compensation Committee or other committee of the Board responsible for conducting the general administration of the Plan in accordance with Section 3 of the Plan; provided that if the Participant is an Independent Director, “Administrator” shall mean the Board.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w:t>
      </w:r>
      <w:r>
        <w:rPr>
          <w:rFonts w:ascii="Times New Roman;serif" w:hAnsi="Times New Roman;serif"/>
          <w:b/>
          <w:i/>
          <w:color w:val="000000"/>
          <w:sz w:val="20"/>
        </w:rPr>
        <w:t>Consultant</w:t>
      </w:r>
      <w:r>
        <w:rPr>
          <w:color w:val="000000"/>
        </w:rPr>
        <w:t xml:space="preserve">” </w:t>
      </w:r>
      <w:r>
        <w:rPr>
          <w:rFonts w:ascii="Times New Roman;serif" w:hAnsi="Times New Roman;serif"/>
          <w:b w:val="false"/>
          <w:color w:val="000000"/>
          <w:sz w:val="20"/>
        </w:rPr>
        <w:t xml:space="preserve">shall mean an individual who renders services to the Company as a consultant and has been so designated by the Committee.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w:t>
      </w:r>
      <w:r>
        <w:rPr>
          <w:rFonts w:ascii="Times New Roman;serif" w:hAnsi="Times New Roman;serif"/>
          <w:b/>
          <w:i/>
          <w:color w:val="000000"/>
          <w:sz w:val="20"/>
        </w:rPr>
        <w:t>Credit Agreement</w:t>
      </w:r>
      <w:r>
        <w:rPr>
          <w:color w:val="000000"/>
        </w:rPr>
        <w:t xml:space="preserve">” </w:t>
      </w:r>
      <w:r>
        <w:rPr>
          <w:rFonts w:ascii="Times New Roman;serif" w:hAnsi="Times New Roman;serif"/>
          <w:b w:val="false"/>
          <w:color w:val="000000"/>
          <w:sz w:val="20"/>
        </w:rPr>
        <w:t xml:space="preserve">shall mean that certain credit agreement dated as of June 4, 2014 among TransDigm, Inc., TransDigm Group Incorporated and the lenders party thereto, as in effect as of the Grant Date and without reference to any amendment to the Credit Agreement made following the Grant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(d)</w:t>
      </w:r>
      <w:r>
        <w:rPr>
          <w:color w:val="000000"/>
        </w:rPr>
        <w:t>    “</w:t>
      </w:r>
      <w:r>
        <w:rPr>
          <w:rFonts w:ascii="Times New Roman;serif" w:hAnsi="Times New Roman;serif"/>
          <w:b/>
          <w:i/>
          <w:color w:val="000000"/>
          <w:sz w:val="20"/>
        </w:rPr>
        <w:t>Diluted Shares</w:t>
      </w:r>
      <w:r>
        <w:rPr>
          <w:color w:val="000000"/>
        </w:rPr>
        <w:t xml:space="preserve">” </w:t>
      </w:r>
      <w:r>
        <w:rPr>
          <w:rFonts w:ascii="Times New Roman;serif" w:hAnsi="Times New Roman;serif"/>
          <w:b w:val="false"/>
          <w:color w:val="000000"/>
          <w:sz w:val="20"/>
        </w:rPr>
        <w:t xml:space="preserve">as of a given date shall mean the total diluted weighted-average of common shares of the Company outstanding as of such date.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(e)</w:t>
      </w:r>
      <w:r>
        <w:rPr>
          <w:color w:val="000000"/>
        </w:rPr>
        <w:t>    “</w:t>
      </w:r>
      <w:r>
        <w:rPr>
          <w:rFonts w:ascii="Times New Roman;serif" w:hAnsi="Times New Roman;serif"/>
          <w:b/>
          <w:i/>
          <w:color w:val="000000"/>
          <w:sz w:val="20"/>
        </w:rPr>
        <w:t>EBITDA</w:t>
      </w:r>
      <w:r>
        <w:rPr>
          <w:color w:val="000000"/>
        </w:rPr>
        <w:t xml:space="preserve">” </w:t>
      </w:r>
      <w:r>
        <w:rPr>
          <w:rFonts w:ascii="Times New Roman;serif" w:hAnsi="Times New Roman;serif"/>
          <w:b w:val="false"/>
          <w:color w:val="000000"/>
          <w:sz w:val="20"/>
        </w:rPr>
        <w:t xml:space="preserve">for a given fiscal year of the Company shall mean Consolidated EBITDA (as defined in the Credit Agreement) of the Company for such fiscal year on a pro forma basis adjusted for acquisitions or divestitures.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(f)</w:t>
      </w:r>
      <w:r>
        <w:rPr>
          <w:color w:val="000000"/>
        </w:rPr>
        <w:t>    “</w:t>
      </w:r>
      <w:r>
        <w:rPr>
          <w:rFonts w:ascii="Times New Roman;serif" w:hAnsi="Times New Roman;serif"/>
          <w:b/>
          <w:i/>
          <w:color w:val="000000"/>
          <w:sz w:val="20"/>
        </w:rPr>
        <w:t>Independent Director</w:t>
      </w:r>
      <w:r>
        <w:rPr>
          <w:color w:val="000000"/>
        </w:rPr>
        <w:t xml:space="preserve">” </w:t>
      </w:r>
      <w:r>
        <w:rPr>
          <w:rFonts w:ascii="Times New Roman;serif" w:hAnsi="Times New Roman;serif"/>
          <w:b w:val="false"/>
          <w:color w:val="000000"/>
          <w:sz w:val="20"/>
        </w:rPr>
        <w:t xml:space="preserve">shall mean a non-employee director of the Company.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(g)</w:t>
      </w:r>
      <w:r>
        <w:rPr>
          <w:color w:val="000000"/>
        </w:rPr>
        <w:t>    “</w:t>
      </w:r>
      <w:r>
        <w:rPr>
          <w:rFonts w:ascii="Times New Roman;serif" w:hAnsi="Times New Roman;serif"/>
          <w:b/>
          <w:i/>
          <w:color w:val="000000"/>
          <w:sz w:val="20"/>
        </w:rPr>
        <w:t>Net Debt</w:t>
      </w:r>
      <w:r>
        <w:rPr>
          <w:color w:val="000000"/>
        </w:rPr>
        <w:t xml:space="preserve">” </w:t>
      </w:r>
      <w:r>
        <w:rPr>
          <w:rFonts w:ascii="Times New Roman;serif" w:hAnsi="Times New Roman;serif"/>
          <w:b w:val="false"/>
          <w:color w:val="000000"/>
          <w:sz w:val="20"/>
        </w:rPr>
        <w:t xml:space="preserve">shall mean, as of the last day of a given fiscal year of the Company, the excess of (i) Consolidated Total Indebtedness (as defined in the Credit Agreement) of the Company over (ii) the amount of cash and cash equivalents set forth on the Company’s balance sheet.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(h)</w:t>
      </w:r>
      <w:r>
        <w:rPr>
          <w:color w:val="000000"/>
        </w:rPr>
        <w:t>    “</w:t>
      </w:r>
      <w:r>
        <w:rPr>
          <w:rFonts w:ascii="Times New Roman;serif" w:hAnsi="Times New Roman;serif"/>
          <w:b/>
          <w:i/>
          <w:color w:val="000000"/>
          <w:sz w:val="20"/>
        </w:rPr>
        <w:t>Termination of Consultancy</w:t>
      </w:r>
      <w:r>
        <w:rPr>
          <w:color w:val="000000"/>
        </w:rPr>
        <w:t xml:space="preserve">” </w:t>
      </w:r>
      <w:r>
        <w:rPr>
          <w:rFonts w:ascii="Times New Roman;serif" w:hAnsi="Times New Roman;serif"/>
          <w:b w:val="false"/>
          <w:color w:val="000000"/>
          <w:sz w:val="20"/>
        </w:rPr>
        <w:t xml:space="preserve">shall mean the time when the engagement of the Participant as a Consultant to the Company or a Subsidiary is terminated for any reason, with or without cause, including, but not by way of limitation, by resignation, discharge, death or retirement, but excluding: (i) terminations where there is a simultaneous employment or continuing employment of the Participant by the Company or any Subsidiary, and (ii) terminations where there is a simultaneous re-establishment of a consulting relationship or continuing consulting relationship between the Participant and the Company or any Subsidiary. The Administrator, in its absolute discretion, shall determine the effect of all matters and questions relating to Termination of Consultancy. </w:t>
      </w:r>
    </w:p>
    <w:p>
      <w:pPr>
        <w:pStyle w:val="TextBody"/>
        <w:bidi w:val="0"/>
        <w:spacing w:lineRule="auto" w:line="288"/>
        <w:jc w:val="left"/>
        <w:rPr/>
      </w:pPr>
      <w:r>
        <w:rPr>
          <w:rFonts w:ascii="sans-serif" w:hAnsi="sans-serif"/>
          <w:b w:val="false"/>
          <w:color w:val="000000"/>
          <w:sz w:val="13"/>
        </w:rPr>
        <w:t>1</w:t>
      </w:r>
      <w:r>
        <w:rPr>
          <w:color w:val="000000"/>
        </w:rPr>
        <w:t xml:space="preserve"> </w:t>
      </w:r>
      <w:r>
        <w:rPr>
          <w:rFonts w:ascii="Times New Roman;serif" w:hAnsi="Times New Roman;serif"/>
          <w:b w:val="false"/>
          <w:color w:val="000000"/>
          <w:sz w:val="20"/>
        </w:rPr>
        <w:t>For the avoidance of doubt, the term “Option” as used herein only describes options granted pursuant to the Stock Option Grant Notice to which this Agreement is an Exhibit.</w:t>
      </w:r>
    </w:p>
    <w:p>
      <w:pPr>
        <w:pStyle w:val="TextBody"/>
        <w:bidi w:val="0"/>
        <w:spacing w:before="0" w:after="20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67665"/>
                <wp:effectExtent l="0" t="0" r="0" b="0"/>
                <wp:wrapNone/>
                <wp:docPr id="121" name="Frame12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other provision of the Plan, the Company or any Subsidiary has an absolute and unrestricted right to terminate a Consultant’s service at any time for any reason whatsoever, with or without cause, except to the extent expressly provided otherwise in writing.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w:t>
      </w:r>
      <w:r>
        <w:rPr>
          <w:color w:val="000000"/>
        </w:rPr>
        <w:t>    “</w:t>
      </w:r>
      <w:r>
        <w:rPr>
          <w:rFonts w:ascii="Times New Roman;serif" w:hAnsi="Times New Roman;serif"/>
          <w:b/>
          <w:i/>
          <w:color w:val="000000"/>
          <w:sz w:val="20"/>
        </w:rPr>
        <w:t>Termination of Directorship</w:t>
      </w:r>
      <w:r>
        <w:rPr>
          <w:color w:val="000000"/>
        </w:rPr>
        <w:t xml:space="preserve">” </w:t>
      </w:r>
      <w:r>
        <w:rPr>
          <w:rFonts w:ascii="Times New Roman;serif" w:hAnsi="Times New Roman;serif"/>
          <w:b w:val="false"/>
          <w:color w:val="000000"/>
          <w:sz w:val="20"/>
        </w:rPr>
        <w:t xml:space="preserve">shall mean the time when the Participant, if he or she is or becomes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(j)</w:t>
      </w:r>
      <w:r>
        <w:rPr>
          <w:color w:val="000000"/>
        </w:rPr>
        <w:t>    “</w:t>
      </w:r>
      <w:r>
        <w:rPr>
          <w:rFonts w:ascii="Times New Roman;serif" w:hAnsi="Times New Roman;serif"/>
          <w:b/>
          <w:i/>
          <w:color w:val="000000"/>
          <w:sz w:val="20"/>
        </w:rPr>
        <w:t>Termination of Employment</w:t>
      </w:r>
      <w:r>
        <w:rPr>
          <w:color w:val="000000"/>
        </w:rPr>
        <w:t xml:space="preserve">” </w:t>
      </w:r>
      <w:r>
        <w:rPr>
          <w:rFonts w:ascii="Times New Roman;serif" w:hAnsi="Times New Roman;serif"/>
          <w:b w:val="false"/>
          <w:color w:val="000000"/>
          <w:sz w:val="20"/>
        </w:rPr>
        <w:t xml:space="preserve">shall mean the time when the employee-employer relationship between the Participant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the Participant by the Company or any Subsidiary, and (ii) terminations where there is a simultaneous establishment of a consulting relationship or continuing consulting relationship between the Participant and the Company or any Subsidiary. The Administrator, in its absolute discretion, shall determine the effect of all matters and questions relating to Termination of Employment, including, but not by way of limitation, the question of whether a particular leave of absence constitutes a Termination of Employment; provided, however, that, notwithstanding any other provision of this Agreement, if this Option is an Incentive Stock Option, unless otherwise determined by the Administrator in its discretion, a leave of absence, change in status from an employee to an independent contractor or other change in the employee-employer relationship shall constitute a Termination of Employment if, and to the extent that, such leave of absence, change in status or other change interrupts employment for the purposes of Section 422(a)(2) of the Code and the then applicable regulations and revenue rulings under said Section.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(k)</w:t>
      </w:r>
      <w:r>
        <w:rPr>
          <w:color w:val="000000"/>
        </w:rPr>
        <w:t>    “</w:t>
      </w:r>
      <w:r>
        <w:rPr>
          <w:rFonts w:ascii="Times New Roman;serif" w:hAnsi="Times New Roman;serif"/>
          <w:b/>
          <w:i/>
          <w:color w:val="000000"/>
          <w:sz w:val="20"/>
        </w:rPr>
        <w:t>Termination of Services</w:t>
      </w:r>
      <w:r>
        <w:rPr>
          <w:color w:val="000000"/>
        </w:rPr>
        <w:t xml:space="preserve">” </w:t>
      </w:r>
      <w:r>
        <w:rPr>
          <w:rFonts w:ascii="Times New Roman;serif" w:hAnsi="Times New Roman;serif"/>
          <w:b w:val="false"/>
          <w:color w:val="000000"/>
          <w:sz w:val="20"/>
        </w:rPr>
        <w:t>shall mean the time when (i) every relationship between the Participant and the Company has been terminated by a Termination of Consultancy, Termination of Directorship and/or Termination of Employment, as applicable, and (ii) the Participant is no longer an Eligible Person under the Plan. For purposes of the Option, the Participant’s Termination of Services will be deemed to occur as of the date the Participant is no longer actively providing services to the Company or any Subsidiary (regardless of the reason for such termination and whether or not later found to be invalid or in breach of employment or other laws in the jurisdiction where the Participant is employed or the terms of the Participant’s employment or service agreement, if any), and unless otherwise determined by the Company, (i) the Participant’s right to vest in the Option under the Plan, if any, will terminate as of such date and will not be extended by any notice period (e.g., the Participant’s period of service would not include any contractual notice period or any period of “garden leave” or similar period mandated under employment laws or common law in the jurisdictions where the Participant provides services or the terms of the Participant’s employment or service agreement, if any); and (ii) the period (if any) during which the Participant may exercise the Option after such Termination of Services will commence on the date the Participant ceases to actively provide services and will not be extended by any notice period mandated under employment laws or common law in the jurisdiction where the Participant provides services or the terms of the Participant’s employment or service agreement, if any; the Company shall have the exclusive discretion to determine when the Participant is no longer actively providing services for purposes of the Options (including whether the Participant may still be considered to be providing services while on a leave of absence).</w:t>
      </w:r>
    </w:p>
    <w:p>
      <w:pPr>
        <w:pStyle w:val="TextBody"/>
        <w:bidi w:val="0"/>
        <w:spacing w:lineRule="auto" w:line="288" w:before="180" w:after="283"/>
        <w:ind w:left="0" w:right="0" w:firstLine="360"/>
        <w:jc w:val="left"/>
        <w:rPr/>
      </w:pPr>
      <w:r>
        <w:rPr>
          <w:rFonts w:ascii="Times New Roman;serif" w:hAnsi="Times New Roman;serif"/>
          <w:b w:val="false"/>
          <w:color w:val="000000"/>
          <w:sz w:val="20"/>
        </w:rPr>
        <w:t xml:space="preserve">1.2 </w:t>
      </w:r>
      <w:r>
        <w:rPr>
          <w:rFonts w:ascii="Times New Roman;serif" w:hAnsi="Times New Roman;serif"/>
          <w:b w:val="false"/>
          <w:color w:val="000000"/>
          <w:sz w:val="20"/>
          <w:u w:val="single"/>
        </w:rPr>
        <w:t>Incorporation of Terms of Plan</w:t>
      </w:r>
      <w:r>
        <w:rPr>
          <w:rFonts w:ascii="Times New Roman;serif" w:hAnsi="Times New Roman;serif"/>
          <w:b w:val="false"/>
          <w:color w:val="000000"/>
          <w:sz w:val="20"/>
        </w:rPr>
        <w:t xml:space="preserve">. The Option is subject to the terms and conditions of the Plan which are incorporated herein by reference. In the event of any inconsistency between the Plan and this Agreement, the terms of the Plan shall control.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ARTICLE II.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GRANT OF OPTION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2.1</w:t>
      </w:r>
      <w:r>
        <w:rPr>
          <w:color w:val="000000"/>
        </w:rPr>
        <w:t>    </w:t>
      </w:r>
      <w:r>
        <w:rPr>
          <w:rFonts w:ascii="Times New Roman;serif" w:hAnsi="Times New Roman;serif"/>
          <w:b w:val="false"/>
          <w:color w:val="000000"/>
          <w:sz w:val="20"/>
          <w:u w:val="single"/>
        </w:rPr>
        <w:t>Grant of Option</w:t>
      </w:r>
      <w:r>
        <w:rPr>
          <w:rFonts w:ascii="Times New Roman;serif" w:hAnsi="Times New Roman;serif"/>
          <w:b w:val="false"/>
          <w:color w:val="000000"/>
          <w:sz w:val="20"/>
        </w:rPr>
        <w:t xml:space="preserve">. In consideration of the Participant’s future employment with or service to the Company or a Subsidiary and for other good and valuable consideration, effective as of the Grant Date set forth in </w:t>
      </w:r>
    </w:p>
    <w:p>
      <w:pPr>
        <w:pStyle w:val="TextBody"/>
        <w:bidi w:val="0"/>
        <w:spacing w:before="0" w:after="20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7665"/>
                <wp:effectExtent l="0" t="0" r="0" b="0"/>
                <wp:wrapNone/>
                <wp:docPr id="122" name="Frame12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pPr>
      <w:r>
        <w:rPr>
          <w:rFonts w:ascii="Times New Roman;serif" w:hAnsi="Times New Roman;serif"/>
          <w:b w:val="false"/>
          <w:color w:val="000000"/>
          <w:sz w:val="20"/>
        </w:rPr>
        <w:t>the Grant Notice (the “</w:t>
      </w:r>
      <w:r>
        <w:rPr>
          <w:rFonts w:ascii="Times New Roman;serif" w:hAnsi="Times New Roman;serif"/>
          <w:b/>
          <w:i/>
          <w:color w:val="000000"/>
          <w:sz w:val="20"/>
        </w:rPr>
        <w:t>Grant Date</w:t>
      </w:r>
      <w:r>
        <w:rPr>
          <w:color w:val="000000"/>
        </w:rPr>
        <w:t>”</w:t>
      </w:r>
      <w:r>
        <w:rPr>
          <w:rFonts w:ascii="Times New Roman;serif" w:hAnsi="Times New Roman;serif"/>
          <w:b w:val="false"/>
          <w:color w:val="000000"/>
          <w:sz w:val="20"/>
        </w:rPr>
        <w:t xml:space="preserve">), the Company irrevocably grants to the Participant the Option to purchase any part or all of an aggregate of the number of shares of Stock set forth in the Grant Notice, subject to the terms and conditions set forth in the Plan and this Agreement. Unless designated as a Non-Qualified Stock Option in the Grant Notice, the Option shall be an Incentive Stock Option to the maximum extent permitted by law.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2.2</w:t>
      </w:r>
      <w:r>
        <w:rPr>
          <w:color w:val="000000"/>
        </w:rPr>
        <w:t>    </w:t>
      </w:r>
      <w:r>
        <w:rPr>
          <w:rFonts w:ascii="Times New Roman;serif" w:hAnsi="Times New Roman;serif"/>
          <w:b w:val="false"/>
          <w:color w:val="000000"/>
          <w:sz w:val="20"/>
          <w:u w:val="single"/>
        </w:rPr>
        <w:t>Exercise Price</w:t>
      </w:r>
      <w:r>
        <w:rPr>
          <w:rFonts w:ascii="Times New Roman;serif" w:hAnsi="Times New Roman;serif"/>
          <w:b w:val="false"/>
          <w:color w:val="000000"/>
          <w:sz w:val="20"/>
        </w:rPr>
        <w:t xml:space="preserve">. The exercise price of the shares of Stock subject to the Option shall be as set forth in the Grant Notice, without commission or other charge;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the price per share of the shares of Stock subject to the Option shall not be less than 100% of the Fair Market Value of a share of Stock on the Grant Date. Notwithstanding the foregoing, if this Option is designated as an Incentive Stock Option and the Participant owns (within the meaning of Section 424(d) of the Code) more than 10% of the total combined voting power of all classes of stock of the Company or any “subsidiary corporation” of the Company or any “parent corporation” of the Company (each within the meaning of Section 424 of the Code), the price per share of the shares of Stock subject to the Option shall not be less than 110% of the Fair Market Value of a share of Stock on the Grant Date</w:t>
      </w:r>
      <w:r>
        <w:rPr>
          <w:rFonts w:ascii="Times New Roman;serif" w:hAnsi="Times New Roman;serif"/>
          <w:b/>
          <w:i/>
          <w:color w:val="000000"/>
          <w:sz w:val="20"/>
        </w:rPr>
        <w:t>[.</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i/>
          <w:color w:val="000000"/>
          <w:sz w:val="20"/>
        </w:rPr>
        <w:t>CEO &amp; DIRECTOR FORM: Notwithstanding anything to the contrary contained in this Option Agreement, the Plan or any applicable plan providing for cash dividend equivalent rights, if an extraordinary dividend is declared on the Stock following the date of the Agreement and if the holders of Options of the Company generally are entitled to receive dividend equivalent payments with respect thereto, then the exercise price of the Option shall be reduced by the amount per share of such extraordinary dividend; provided, however, that if as a result of the foregoing reduction, the exercise price would be below zero, then this provision will apply only to the extent the exercise price would be zero and the remainder of any dividend equivalents related to an extraordinary dividend will be paid in cash]</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2.3</w:t>
      </w:r>
      <w:r>
        <w:rPr>
          <w:color w:val="000000"/>
        </w:rPr>
        <w:t>    </w:t>
      </w:r>
      <w:r>
        <w:rPr>
          <w:rFonts w:ascii="Times New Roman;serif" w:hAnsi="Times New Roman;serif"/>
          <w:b w:val="false"/>
          <w:color w:val="000000"/>
          <w:sz w:val="20"/>
          <w:u w:val="single"/>
        </w:rPr>
        <w:t>Consideration to the Company</w:t>
      </w:r>
      <w:r>
        <w:rPr>
          <w:rFonts w:ascii="Times New Roman;serif" w:hAnsi="Times New Roman;serif"/>
          <w:b w:val="false"/>
          <w:color w:val="000000"/>
          <w:sz w:val="20"/>
        </w:rPr>
        <w:t xml:space="preserve">.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 </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ARTICLE III.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PERIOD OF EXERCISABILITY </w:t>
      </w:r>
    </w:p>
    <w:p>
      <w:pPr>
        <w:pStyle w:val="TextBody"/>
        <w:bidi w:val="0"/>
        <w:spacing w:lineRule="auto" w:line="288" w:before="180" w:after="283"/>
        <w:ind w:left="0" w:right="0" w:firstLine="270"/>
        <w:jc w:val="left"/>
        <w:rPr/>
      </w:pPr>
      <w:r>
        <w:rPr>
          <w:rFonts w:ascii="Times New Roman;serif" w:hAnsi="Times New Roman;serif"/>
          <w:b w:val="false"/>
          <w:color w:val="000000"/>
          <w:sz w:val="20"/>
        </w:rPr>
        <w:t>3.1</w:t>
      </w:r>
      <w:r>
        <w:rPr>
          <w:color w:val="000000"/>
        </w:rPr>
        <w:t>    </w:t>
      </w:r>
      <w:r>
        <w:rPr>
          <w:rFonts w:ascii="Times New Roman;serif" w:hAnsi="Times New Roman;serif"/>
          <w:b w:val="false"/>
          <w:color w:val="000000"/>
          <w:sz w:val="20"/>
          <w:u w:val="single"/>
        </w:rPr>
        <w:t>Commencement of Exercisability</w:t>
      </w:r>
      <w:r>
        <w:rPr>
          <w:rFonts w:ascii="Times New Roman;serif" w:hAnsi="Times New Roman;serif"/>
          <w:b w:val="false"/>
          <w:color w:val="000000"/>
          <w:sz w:val="20"/>
        </w:rPr>
        <w:t xml:space="preserve">. </w:t>
      </w:r>
      <w:r>
        <w:rPr>
          <w:rFonts w:ascii="Times New Roman;serif" w:hAnsi="Times New Roman;serif"/>
          <w:b/>
          <w:i/>
          <w:color w:val="000000"/>
          <w:sz w:val="20"/>
        </w:rPr>
        <w:t>[For NEOs only: For purposes of Section 3.1(b) and Section 3.3(f), “Named Executive Officer” means an officer designated by the Board as an officer for purposes of the Company’s reporting under Section 14 of the Securities Exchange Act.]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Subject to Sections 3.1(b), 3.1(c), </w:t>
      </w:r>
      <w:r>
        <w:rPr>
          <w:rFonts w:ascii="Times New Roman;serif" w:hAnsi="Times New Roman;serif"/>
          <w:b/>
          <w:i/>
          <w:color w:val="000000"/>
          <w:sz w:val="20"/>
        </w:rPr>
        <w:t>[For NEOs only: 3.1(d),]</w:t>
      </w:r>
      <w:r>
        <w:rPr>
          <w:color w:val="000000"/>
        </w:rPr>
        <w:t xml:space="preserve"> </w:t>
      </w:r>
      <w:r>
        <w:rPr>
          <w:rFonts w:ascii="Times New Roman;serif" w:hAnsi="Times New Roman;serif"/>
          <w:b w:val="false"/>
          <w:color w:val="000000"/>
          <w:sz w:val="20"/>
        </w:rPr>
        <w:t xml:space="preserve">and 3.3, the Option shall become vested and exercisable in such amounts and at such times as set forth in the Grant Notice.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No portion of the Option which has not become vested and exercisable at the date of the Participant’s Termination of Services shall thereafter become vested and exercisable, except as may be otherwise provided by the Administrator or as set forth in a written agreement between the Company and the Participant.</w:t>
      </w:r>
      <w:r>
        <w:rPr>
          <w:color w:val="000000"/>
        </w:rPr>
        <w:t xml:space="preserve"> </w:t>
      </w:r>
      <w:r>
        <w:rPr>
          <w:rFonts w:ascii="Times New Roman;serif" w:hAnsi="Times New Roman;serif"/>
          <w:b/>
          <w:i/>
          <w:color w:val="000000"/>
          <w:sz w:val="20"/>
        </w:rPr>
        <w:t>[ALTERNATE PROVISION FOR NEOs: No portion of the Option which has not become vested and exercisable at the date of the Participant’s Termination of Services shall thereafter become vested and exercisable, except as follows or as may be otherwise provided by the Administrator or as set forth in a written agreement between the Company and the Participant:</w:t>
      </w:r>
    </w:p>
    <w:p>
      <w:pPr>
        <w:pStyle w:val="TextBody"/>
        <w:bidi w:val="0"/>
        <w:spacing w:lineRule="auto" w:line="288" w:before="9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If the Participant incurs a Termination of Services under any of the circumstances described in Section 5(a)(i) (death) of that certain Employment Agreement between the Participant and the Company effective _______________ (the “Employment Agreement”), Section 5(a)(ii) (Disability) of the Employment Agreement, Section 5(a)(iv) (Resignation for Good Reason of the Employment Agreement) or Section 5(a)(v) (Termination </w:t>
      </w:r>
    </w:p>
    <w:p>
      <w:pPr>
        <w:pStyle w:val="TextBody"/>
        <w:bidi w:val="0"/>
        <w:spacing w:before="0" w:after="20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67665"/>
                <wp:effectExtent l="0" t="0" r="0" b="0"/>
                <wp:wrapNone/>
                <wp:docPr id="123" name="Frame12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120"/>
        <w:jc w:val="left"/>
        <w:rPr>
          <w:rFonts w:ascii="Times New Roman;serif" w:hAnsi="Times New Roman;serif"/>
          <w:b/>
          <w:i/>
          <w:color w:val="000000"/>
          <w:sz w:val="20"/>
        </w:rPr>
      </w:pPr>
      <w:r>
        <w:rPr>
          <w:rFonts w:ascii="Times New Roman;serif" w:hAnsi="Times New Roman;serif"/>
          <w:b/>
          <w:i/>
          <w:color w:val="000000"/>
          <w:sz w:val="20"/>
        </w:rPr>
        <w:t>without Cause) of the Employment Agreement, or if the Participant incurs a voluntary Termination of Services at a time when (a) the Participant’s years of continuous employment with or service to the Company or any Subsidiary (collectively, “Years of Service”) is equal to or exceeds ten years; and (b)((i) if the Participant is an officer of the Company appointed by the Board but has not previously been designated as a Named Executive Officer, and has completed at least six cumulative years of continuous service as an officer of the Company appointed by the Board, or (ii) if the Participant has been designated as a Named Executive Officer of the Company and the Participant has completed at least three continuous years of service in such Named Executive Officer role and at least six years as an officer of the Company appointed by the Board, or (iii) if the Participant has been designated as a Named Executive Officer of the Company and has completed at least six continuous years in such Named Executive Officer role; and (c) the combination of (i) the Participant’s age in years, plus (ii) the Participant’s Years of Service, equals at least 70; and (d) the Company at such time does not have grounds to terminate the Participant’s employment or service for “Cause”, then, in each such case, vesting will continue after such Termination of Services as provided below:</w:t>
      </w:r>
    </w:p>
    <w:tbl>
      <w:tblPr>
        <w:tblW w:w="10205" w:type="dxa"/>
        <w:jc w:val="left"/>
        <w:tblInd w:w="0" w:type="dxa"/>
        <w:tblLayout w:type="fixed"/>
        <w:tblCellMar>
          <w:top w:w="28" w:type="dxa"/>
          <w:left w:w="28" w:type="dxa"/>
          <w:bottom w:w="28" w:type="dxa"/>
          <w:right w:w="28" w:type="dxa"/>
        </w:tblCellMar>
      </w:tblPr>
      <w:tblGrid>
        <w:gridCol w:w="1448"/>
        <w:gridCol w:w="1271"/>
        <w:gridCol w:w="1274"/>
        <w:gridCol w:w="1816"/>
        <w:gridCol w:w="1816"/>
        <w:gridCol w:w="2580"/>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Termination Date</w:t>
            </w:r>
          </w:p>
        </w:tc>
        <w:tc>
          <w:tcPr>
            <w:tcW w:w="621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90" w:after="283"/>
              <w:jc w:val="center"/>
              <w:rPr>
                <w:rFonts w:ascii="Times New Roman;serif" w:hAnsi="Times New Roman;serif"/>
                <w:b/>
                <w:i/>
                <w:color w:val="000000"/>
                <w:sz w:val="20"/>
              </w:rPr>
            </w:pPr>
            <w:r>
              <w:rPr>
                <w:rFonts w:ascii="Times New Roman;serif" w:hAnsi="Times New Roman;serif"/>
                <w:b/>
                <w:i/>
                <w:color w:val="000000"/>
                <w:sz w:val="20"/>
              </w:rPr>
              <w:t>Percent of Remaining Options That May Continue to Vest (“Continued Vesting Options”)</w:t>
            </w:r>
          </w:p>
        </w:tc>
      </w:tr>
      <w:tr>
        <w:trPr/>
        <w:tc>
          <w:tcPr>
            <w:tcW w:w="3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Prior to October 1, 2026</w:t>
            </w:r>
          </w:p>
        </w:tc>
        <w:tc>
          <w:tcPr>
            <w:tcW w:w="62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0%</w:t>
            </w:r>
          </w:p>
        </w:tc>
      </w:tr>
      <w:tr>
        <w:trPr/>
        <w:tc>
          <w:tcPr>
            <w:tcW w:w="3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On or after October 1, 2026 but prior to October 1, 2027</w:t>
            </w:r>
          </w:p>
        </w:tc>
        <w:tc>
          <w:tcPr>
            <w:tcW w:w="62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20%</w:t>
            </w:r>
          </w:p>
        </w:tc>
      </w:tr>
      <w:tr>
        <w:trPr/>
        <w:tc>
          <w:tcPr>
            <w:tcW w:w="3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On or after October 1, 2027 but prior to October 1, 2028</w:t>
            </w:r>
          </w:p>
        </w:tc>
        <w:tc>
          <w:tcPr>
            <w:tcW w:w="62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40%</w:t>
            </w:r>
          </w:p>
        </w:tc>
      </w:tr>
      <w:tr>
        <w:trPr/>
        <w:tc>
          <w:tcPr>
            <w:tcW w:w="3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On or after October 1, 2028 but prior to October 1, 2029</w:t>
            </w:r>
          </w:p>
        </w:tc>
        <w:tc>
          <w:tcPr>
            <w:tcW w:w="62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60%</w:t>
            </w:r>
          </w:p>
        </w:tc>
      </w:tr>
      <w:tr>
        <w:trPr/>
        <w:tc>
          <w:tcPr>
            <w:tcW w:w="399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On or after October 1, 2029 but prior to October 1, 2030</w:t>
            </w:r>
          </w:p>
        </w:tc>
        <w:tc>
          <w:tcPr>
            <w:tcW w:w="621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80%</w:t>
            </w:r>
          </w:p>
        </w:tc>
      </w:tr>
      <w:tr>
        <w:trPr/>
        <w:tc>
          <w:tcPr>
            <w:tcW w:w="399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19" w:before="0" w:after="283"/>
              <w:jc w:val="left"/>
              <w:rPr>
                <w:rFonts w:ascii="Times New Roman;serif" w:hAnsi="Times New Roman;serif"/>
                <w:b/>
                <w:i/>
                <w:color w:val="000000"/>
                <w:sz w:val="20"/>
              </w:rPr>
            </w:pPr>
            <w:r>
              <w:rPr>
                <w:rFonts w:ascii="Times New Roman;serif" w:hAnsi="Times New Roman;serif"/>
                <w:b/>
                <w:i/>
                <w:color w:val="000000"/>
                <w:sz w:val="20"/>
              </w:rPr>
              <w:t>On or after October 1, 2030</w:t>
            </w:r>
          </w:p>
        </w:tc>
        <w:tc>
          <w:tcPr>
            <w:tcW w:w="621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83"/>
              <w:jc w:val="center"/>
              <w:rPr>
                <w:rFonts w:ascii="Times New Roman;serif" w:hAnsi="Times New Roman;serif"/>
                <w:b/>
                <w:i/>
                <w:color w:val="000000"/>
                <w:sz w:val="20"/>
              </w:rPr>
            </w:pPr>
            <w:r>
              <w:rPr>
                <w:rFonts w:ascii="Times New Roman;serif" w:hAnsi="Times New Roman;serif"/>
                <w:b/>
                <w:i/>
                <w:color w:val="000000"/>
                <w:sz w:val="20"/>
              </w:rPr>
              <w:t>100%</w:t>
            </w:r>
          </w:p>
        </w:tc>
      </w:tr>
    </w:tbl>
    <w:p>
      <w:pPr>
        <w:pStyle w:val="TextBody"/>
        <w:bidi w:val="0"/>
        <w:spacing w:lineRule="auto" w:line="288" w:before="240" w:after="283"/>
        <w:ind w:left="0" w:right="0" w:firstLine="720"/>
        <w:jc w:val="left"/>
        <w:rPr/>
      </w:pPr>
      <w:r>
        <w:rPr>
          <w:rFonts w:ascii="Times New Roman;serif" w:hAnsi="Times New Roman;serif"/>
          <w:b/>
          <w:i/>
          <w:color w:val="000000"/>
          <w:sz w:val="20"/>
        </w:rPr>
        <w:t xml:space="preserve">The Continued Vesting Options will vest (subject to the terms of this Agreement) annually in equal portions over the remainder of the vesting period set forth in </w:t>
      </w:r>
      <w:r>
        <w:rPr>
          <w:rFonts w:ascii="Times New Roman;serif" w:hAnsi="Times New Roman;serif"/>
          <w:b/>
          <w:i/>
          <w:color w:val="000000"/>
          <w:sz w:val="20"/>
          <w:u w:val="single"/>
        </w:rPr>
        <w:t>Exhibit B</w:t>
      </w:r>
      <w:r>
        <w:rPr>
          <w:rFonts w:ascii="Times New Roman;serif" w:hAnsi="Times New Roman;serif"/>
          <w:b/>
          <w:i/>
          <w:color w:val="000000"/>
          <w:sz w:val="20"/>
        </w:rPr>
        <w:t>.</w:t>
      </w:r>
    </w:p>
    <w:p>
      <w:pPr>
        <w:pStyle w:val="TextBody"/>
        <w:bidi w:val="0"/>
        <w:spacing w:lineRule="auto" w:line="288" w:before="90" w:after="283"/>
        <w:ind w:left="0" w:right="0" w:firstLine="720"/>
        <w:jc w:val="left"/>
        <w:rPr/>
      </w:pPr>
      <w:r>
        <w:rPr>
          <w:rFonts w:ascii="Times New Roman;serif" w:hAnsi="Times New Roman;serif"/>
          <w:b/>
          <w:i/>
          <w:color w:val="000000"/>
          <w:sz w:val="20"/>
        </w:rPr>
        <w:t>(c)</w:t>
      </w:r>
      <w:r>
        <w:rPr>
          <w:color w:val="000000"/>
        </w:rPr>
        <w:t>    </w:t>
      </w:r>
      <w:r>
        <w:rPr>
          <w:rFonts w:ascii="Times New Roman;serif" w:hAnsi="Times New Roman;serif"/>
          <w:b/>
          <w:i/>
          <w:color w:val="000000"/>
          <w:sz w:val="20"/>
        </w:rPr>
        <w:t>Notwithstanding Section 3.1(a) of this Agreement and Section 6 of the Plan (but subject to Section 3.1(b) and Section 3.1(d) of this Agreement), unless otherwise determined by the Administrator, the following Change in Control provisions shall apply to the Option:</w:t>
      </w:r>
    </w:p>
    <w:p>
      <w:pPr>
        <w:pStyle w:val="TextBody"/>
        <w:bidi w:val="0"/>
        <w:spacing w:lineRule="auto" w:line="288" w:before="9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    In the event of a Change in Control occurring during the vesting of the Option and before the Participant incurs a Termination of Services, to the extent the Option has not been forfeited, the Option shall become fully vested and exercisable except to the extent that a Replacement Award is provided to the Participant for the Option.</w:t>
      </w:r>
    </w:p>
    <w:p>
      <w:pPr>
        <w:pStyle w:val="TextBody"/>
        <w:bidi w:val="0"/>
        <w:spacing w:lineRule="auto" w:line="288" w:before="9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(ii)    For purposes of this Agreement, a “Replacement Award” means an award (A) of performance-based stock options, (B) that has a value at least equal to the value of the Option immediately prior to the provision of such Replacement Award, (C) that relates to publicly traded equity securities of the Company or its successor in the Change in Control (or another entity that is affiliated with the Company or such successor following the Change in Control) (the “Successor”), (D) the tax consequences of which, under the Code, if the Participant is subject to U.S. federal income tax under the Code, are not less favorable to the Participant than the tax consequences of the Option immediately prior to the provision of such Replacement Award, (E) that becomes fully vested and exercisable if the Participant incurs a Termination of Services (and/or, if applicable, a termination of all employment with and services to the Successor) for “Good Reason” by the Participant or without “Cause” by the Successor within a period of two years after the Change in Control, and (F) the other terms and conditions of which are not less favorable to the Participant than the terms and conditions of the Option immediately prior to the provision of such Replacement Award (including the provisions that would apply in the event of a subsequent Change in Control). Without limiting the generality of the foregoing, </w:t>
      </w:r>
    </w:p>
    <w:p>
      <w:pPr>
        <w:pStyle w:val="TextBody"/>
        <w:bidi w:val="0"/>
        <w:spacing w:before="0" w:after="20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7665"/>
                <wp:effectExtent l="0" t="0" r="0" b="0"/>
                <wp:wrapNone/>
                <wp:docPr id="124" name="Frame12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90" w:after="283"/>
        <w:jc w:val="left"/>
        <w:rPr>
          <w:rFonts w:ascii="Times New Roman;serif" w:hAnsi="Times New Roman;serif"/>
          <w:b/>
          <w:i/>
          <w:color w:val="000000"/>
          <w:sz w:val="20"/>
        </w:rPr>
      </w:pPr>
      <w:r>
        <w:rPr>
          <w:rFonts w:ascii="Times New Roman;serif" w:hAnsi="Times New Roman;serif"/>
          <w:b/>
          <w:i/>
          <w:color w:val="000000"/>
          <w:sz w:val="20"/>
        </w:rPr>
        <w:t>a Replacement Award may take the form of a continuation of the Option if the requirements of the preceding sentence are satisfied. The determination of whether the conditions of this Section 3.1(c)(ii) are satisfied will be made by the Administrator, as constituted immediately before the Change in Control, in its sole discretion.</w:t>
      </w:r>
    </w:p>
    <w:p>
      <w:pPr>
        <w:pStyle w:val="TextBody"/>
        <w:bidi w:val="0"/>
        <w:spacing w:lineRule="auto" w:line="288" w:before="9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(iii)    For purposes of Section 3.1(c)(ii), “Good Reason” will be defined: (A) if the Participant has an employment (or substantially similar) agreement that defines “Good Reason,” as such term is so defined in such agreement; or (B) to mean a material diminution in the nature or scope of the responsibilities, authorities or duties of the Participant compared to those regarding the Participant’s position held immediately prior to the Change in Control, a change of more than 60 miles in the location of the Participant’s principal work location compared to that in effect immediately prior to the Change in Control, or a material reduction in the Participant’s remuneration upon or after the Change in Control compared to that in effect immediately prior to the Change in Control, provided, however, that no later than 90 days following an event constituting Good Reason, the Participant gives notice to the Successor of the occurrence of such event and the Successor fails to cure such event within 30 days following the receipt of such notice. </w:t>
      </w:r>
    </w:p>
    <w:p>
      <w:pPr>
        <w:pStyle w:val="TextBody"/>
        <w:bidi w:val="0"/>
        <w:spacing w:lineRule="auto" w:line="288" w:before="90" w:after="283"/>
        <w:ind w:left="0" w:right="0" w:firstLine="720"/>
        <w:jc w:val="left"/>
        <w:rPr/>
      </w:pPr>
      <w:r>
        <w:rPr>
          <w:rFonts w:ascii="Times New Roman;serif" w:hAnsi="Times New Roman;serif"/>
          <w:b/>
          <w:i/>
          <w:color w:val="000000"/>
          <w:sz w:val="20"/>
        </w:rPr>
        <w:t>(iv)    For purposes of Section 3.1(c)(ii), “Cause” will be defined: (A) if the Participant has an employment (or substantially similar) agreement that defines “Cause,” as such term is so defined in such agreement; or (B) to mean (1) acts of personal dishonesty, gross negligence or willful misconduct on the part of the Participant in the course of his or her employment or services, (2) the Participant’s engagement in conduct that results, or could be reasonably expected to result, in material injury to the reputation or business of the Successor or its affiliates, (3) misappropriation by the Participant of the assets or business opportunities of the Successor or its affiliates, (4) embezzlement or fraud committed by the Participant, at his or her direction, or with his or her personal knowledge, (5) the Participant’s conviction by a court of competent jurisdiction of, or pleading “guilty” or “no contest” to, (a) a felony, or (b) any other criminal charge (other than minor traffic violations) that has, or could be reasonably expected to have, an adverse impact on the performance of the Participant’s duties to the Successor or its affiliates, or (6) failure by the Participant to follow the lawful directions of a superior officer or the board of directors (or substantially similar body) of the Successor.]</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([c/d])</w:t>
      </w:r>
      <w:r>
        <w:rPr>
          <w:color w:val="000000"/>
        </w:rPr>
        <w:t>    </w:t>
      </w:r>
      <w:r>
        <w:rPr>
          <w:rFonts w:ascii="Times New Roman;serif" w:hAnsi="Times New Roman;serif"/>
          <w:b w:val="false"/>
          <w:color w:val="000000"/>
          <w:sz w:val="20"/>
        </w:rPr>
        <w:t xml:space="preserve">Notwithstanding Section 3.1 </w:t>
      </w:r>
      <w:r>
        <w:rPr>
          <w:rFonts w:ascii="Times New Roman;serif" w:hAnsi="Times New Roman;serif"/>
          <w:b/>
          <w:i/>
          <w:color w:val="000000"/>
          <w:sz w:val="20"/>
        </w:rPr>
        <w:t>[DELETION FOR NEOS ONLY:(a) of this Agreement and Section 8 of the Plan (but subject to Section 3.1(b) of this Agreement), in the event of a Change in Control, Options shall become fully vested and exercisable. Notwithstanding the foregoing</w:t>
      </w:r>
      <w:r>
        <w:rPr>
          <w:rFonts w:ascii="Times New Roman;serif" w:hAnsi="Times New Roman;serif"/>
          <w:b/>
          <w:i/>
          <w:color w:val="000000"/>
          <w:sz w:val="20"/>
          <w:u w:val="single"/>
        </w:rPr>
        <w:t>) ADDITION FOR NEOS ONLY: (c)]</w:t>
      </w:r>
      <w:r>
        <w:rPr>
          <w:rFonts w:ascii="Times New Roman;serif" w:hAnsi="Times New Roman;serif"/>
          <w:b w:val="false"/>
          <w:color w:val="000000"/>
          <w:sz w:val="20"/>
        </w:rPr>
        <w:t xml:space="preserve">, the Administrator may, in good faith and in such manner as it may deem equitable, in its sole discretion, adjust the foregoing Fair Market Value requirements and other Option terms in the event of a dividend or other distribution (whether in the form of cash, Stock, other securities or property),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or any unusual or nonrecurring transactions or events affecting the Company or the financial statements of the Company if the adjustment is determined by the Administrator to be appropriate in order to prevent dilution or enlargement of the benefits or potential benefits intended to be made available under the Plan or with respect to the Option. For purposes of this Section 3.1, shall take into account the consideration received by the stockholders in connection with a Change in Control or in connection with any other sale of common stock or other equity interests in the Company or any Subsidiary, after taking into account all post-closing adjustments relating to a Change in Control, and assuming the exercise of all vested options and warrants outstanding as of the effective date of such Change in Control (after giving effect to any dilution of securities or instruments arising in connection with such Change in Control);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the stockholders retain any portion of the common stock following such Change in Control or other sale, the Fair Market Value of such portion of the retained common stock immediately following such Change in Control or other sale shall be deemed “consideration received” for purposes of calculating the proceeds and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 xml:space="preserve">that the Fair Market Value of any non-cash consideration (including stock) received in connection with a Change in Control shall be determined as of the date of such Change in Control. </w:t>
      </w:r>
    </w:p>
    <w:p>
      <w:pPr>
        <w:pStyle w:val="TextBody"/>
        <w:bidi w:val="0"/>
        <w:spacing w:before="0" w:after="0"/>
        <w:jc w:val="left"/>
        <w:rPr/>
      </w:pPr>
      <w:r>
        <w:rPr/>
      </w:r>
    </w:p>
    <w:p>
      <w:pPr>
        <w:pStyle w:val="TextBody"/>
        <w:bidi w:val="0"/>
        <w:spacing w:lineRule="auto" w:line="288"/>
        <w:ind w:left="0" w:right="0" w:firstLine="360"/>
        <w:jc w:val="left"/>
        <w:rPr/>
      </w:pPr>
      <w:r>
        <w:rPr>
          <w:rFonts w:ascii="Times New Roman;serif" w:hAnsi="Times New Roman;serif"/>
          <w:b w:val="false"/>
          <w:color w:val="000000"/>
          <w:sz w:val="20"/>
        </w:rPr>
        <w:t>3.2</w:t>
      </w:r>
      <w:r>
        <w:rPr>
          <w:color w:val="000000"/>
        </w:rPr>
        <w:t>    </w:t>
      </w:r>
      <w:r>
        <w:rPr>
          <w:rFonts w:ascii="Times New Roman;serif" w:hAnsi="Times New Roman;serif"/>
          <w:b w:val="false"/>
          <w:color w:val="000000"/>
          <w:sz w:val="20"/>
          <w:u w:val="single"/>
        </w:rPr>
        <w:t>Duration of Exercisability</w:t>
      </w:r>
      <w:r>
        <w:rPr>
          <w:rFonts w:ascii="Times New Roman;serif" w:hAnsi="Times New Roman;serif"/>
          <w:b w:val="false"/>
          <w:color w:val="000000"/>
          <w:sz w:val="20"/>
        </w:rPr>
        <w:t xml:space="preserve">. The installments provided for in the vesting schedule set forth in the Grant Notice are cumulative. Each such installment which becomes vested and exercisable pursuant to the vesting </w:t>
      </w:r>
    </w:p>
    <w:p>
      <w:pPr>
        <w:pStyle w:val="TextBody"/>
        <w:bidi w:val="0"/>
        <w:spacing w:before="0" w:after="20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67665"/>
                <wp:effectExtent l="0" t="0" r="0" b="0"/>
                <wp:wrapNone/>
                <wp:docPr id="125" name="Frame12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schedule set forth in the Grant Notice shall remain vested and exercisable until it becomes unexercisable under Section 3.3.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3.3</w:t>
      </w:r>
      <w:r>
        <w:rPr>
          <w:color w:val="000000"/>
        </w:rPr>
        <w:t>    </w:t>
      </w:r>
      <w:r>
        <w:rPr>
          <w:rFonts w:ascii="Times New Roman;serif" w:hAnsi="Times New Roman;serif"/>
          <w:b w:val="false"/>
          <w:color w:val="000000"/>
          <w:sz w:val="20"/>
          <w:u w:val="single"/>
        </w:rPr>
        <w:t>Expiration of Option</w:t>
      </w:r>
      <w:r>
        <w:rPr>
          <w:rFonts w:ascii="Times New Roman;serif" w:hAnsi="Times New Roman;serif"/>
          <w:b w:val="false"/>
          <w:color w:val="000000"/>
          <w:sz w:val="20"/>
        </w:rPr>
        <w:t xml:space="preserve">. The Option may not be exercised to any extent by anyone after the first to occur of the following events: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expiration of ten years from the Grant Date; 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If this Option is designated as an Incentive Stock Option and the Participant owned (within the meaning of Section 424(d) of the Code), at the time the Option was granted, more than 10% of the total combined voting power of all classes of stock of the Company or any “subsidiary corporation” of the Company or any “parent corporation” of the Company (each within the meaning of Section 424 of the Code), the expiration of five years from the Grant Date; or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The opening of business on the day of the Participant’s Termination of Services by reason of a termination by the Company or a Subsidiary for Cause;</w:t>
      </w:r>
      <w:r>
        <w:rPr>
          <w:color w:val="000000"/>
        </w:rPr>
        <w:t xml:space="preserve"> </w:t>
      </w:r>
      <w:r>
        <w:rPr>
          <w:rFonts w:ascii="Times New Roman;serif" w:hAnsi="Times New Roman;serif"/>
          <w:b/>
          <w:i/>
          <w:color w:val="000000"/>
          <w:sz w:val="20"/>
        </w:rPr>
        <w:t>[ALTERNATIVE PROVISION FOR NEOS: The opening of business on the day of the Participant’s Termination of Services by reason of a termination by the Company or a Subsidiary for Cause (as defined in the Participant’s employment agreement, if applicable), unless the Committee, in its discretion, determines that a longer period is appropriate;]</w:t>
      </w:r>
      <w:r>
        <w:rPr>
          <w:color w:val="000000"/>
        </w:rPr>
        <w:t xml:space="preserve"> </w:t>
      </w: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 xml:space="preserve">The expiration of six months from the date of the Participant’s Termination of Services, unless such termination occurs by reason of (i) the Participant’s death, (ii) the Participant’s Disability, (iii) the Participant’s retirement (pursuant to Section 3.3(e) or Section 3.3(f)(iii)), (iv) the Participant’s termination for Cause (as defined in the Participant’s employment agreement, if applicable), (v) if the Participant has an employment agreement that defines a termination for “cause” and/or “Good Reason,” a termination by the Company or a Subsidiary without Cause (as defined in the Participant’s employment agreement) or a termination by the Participant for Good Reason (as defined in the Participant’s employment agreement, if applicable), </w:t>
      </w:r>
      <w:r>
        <w:rPr>
          <w:rFonts w:ascii="Times New Roman;serif" w:hAnsi="Times New Roman;serif"/>
          <w:b/>
          <w:i/>
          <w:color w:val="000000"/>
          <w:sz w:val="20"/>
        </w:rPr>
        <w:t>[FOR NEOS ONLY or (vi) is under Section 3.1(c)(ii)(E) of this Agreement,]</w:t>
      </w:r>
      <w:r>
        <w:rPr>
          <w:color w:val="000000"/>
        </w:rPr>
        <w:t xml:space="preserve">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 xml:space="preserve">that any portion of this Option that is an Incentive Stock Option shall cease to be an Incentive Stock Option on the expiration of three months from the Participant’s Termination of Services (and shall thereafter be a Non-Qualified Stock Option),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 xml:space="preserve">that to the extent that the Participant is prohibited from selling shares of Stock pursuant to the Company’s insider trading policy at all times during such six-month period, with the exception of an open trading window of less than seven days, the Option shall expire on the seventh day following the opening of the first open trading window thereafter; or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(e)</w:t>
      </w:r>
      <w:r>
        <w:rPr>
          <w:color w:val="000000"/>
        </w:rPr>
        <w:t>    </w:t>
      </w:r>
      <w:r>
        <w:rPr>
          <w:rFonts w:ascii="Times New Roman;serif" w:hAnsi="Times New Roman;serif"/>
          <w:b w:val="false"/>
          <w:color w:val="000000"/>
          <w:sz w:val="20"/>
        </w:rPr>
        <w:t xml:space="preserve">The expiration of one year from the date of the Participant’s Termination of Services by reason of the retirement, after a minimum of ten years of service, of a Participant who is at least 55 years old (unless Section 3.3(f)(iii) applies),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to the extent that the Participant is prohibited from selling shares of Stock pursuant to the Company’s insider trading policy at all times during such one-year period, with the exception of an open trading window of less than seven days, the Option shall expire on the seventh day following the opening of the first open trading window thereafter </w:t>
      </w:r>
      <w:r>
        <w:rPr>
          <w:rFonts w:ascii="Times New Roman;serif" w:hAnsi="Times New Roman;serif"/>
          <w:b/>
          <w:i/>
          <w:color w:val="000000"/>
          <w:sz w:val="20"/>
        </w:rPr>
        <w:t>[ALTERNATIVE PROVISION FOR DIRECTORS: ; or the expiration of one year from the date of the Participant’s Termination of Services by reason of (i) the Participant’s death or Disability; or (ii) the retirement of the Participant at a time when the Participant’s years of continuous employment with or service to the Company or any Subsidiary (collectively, “Years of Service”) is equal to or exceeds ten years and the combination of (i) the Participant’s age in years, plus (ii) the Participant’s Years of Service, equals at least 70 (and the Company at such time does not have grounds to terminate the Participant’s employment or service for “Cause”), provided, however, that to the extent that the Participant is prohibited from selling shares of Stock pursuant to the Company’s insider trading policy at all times during such one-year period, with the exception of an open trading window of less than seven days, the Option shall expire on the seventh day following the opening of the first open trading window thereafter.]</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[ADDITIONAL PROVISION FOR NEOS: (f)    The expiration date set forth in clause (a), (i) if the Participant has an employment agreement that defines a termination for “Cause” and/or “Good Reason,” and upon a Participant’s Termination of Services by the Company or a Subsidiary without Cause (as defined in </w:t>
      </w:r>
    </w:p>
    <w:p>
      <w:pPr>
        <w:pStyle w:val="TextBody"/>
        <w:bidi w:val="0"/>
        <w:spacing w:before="0" w:after="20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7665"/>
                <wp:effectExtent l="0" t="0" r="0" b="0"/>
                <wp:wrapNone/>
                <wp:docPr id="126" name="Frame12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Participant’s employment agreement) or a Termination of Services by the Participant for Good Reason (as defined in Participant’s employment agreement), or (ii) upon the Participant’s death or Disability, or (iii) at a time when (a) the Participant’s years of continuous employment with or service to the Company or any Subsidiary Years of Service is equal to or exceeds ten years; and (b)((i) if the Participant is an officer of the Company appointed by the Board but has not previously been designated as a Named Executive Officer, and has completed at least six cumulative years of continuous service as an officer of the Company appointed by the Board, or (ii) if the Participant has been designated as a Named Executive Officer of the Company and the Participant has completed at least three continuous years of service in such Named Executive Officer role and at least six years as an officer of the Company appointed by the Board, or (iii) if the Participant has been designated as a Named Executive Officer of the Company and has completed at least six continuous years in such Named Executive Officer role); and (c) the combination of (i) the Participant’s age in years, plus (ii) the Participant’s Years of Service, equals at least 70; and (d) the Company at such time does not have grounds to terminate the Participant’s employment or service for “Cause”, or (iv) after a Change in Control under Section 3.1(c).]</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3.4</w:t>
      </w:r>
      <w:r>
        <w:rPr>
          <w:color w:val="000000"/>
        </w:rPr>
        <w:t>    </w:t>
      </w:r>
      <w:r>
        <w:rPr>
          <w:rFonts w:ascii="Times New Roman;serif" w:hAnsi="Times New Roman;serif"/>
          <w:b w:val="false"/>
          <w:color w:val="000000"/>
          <w:sz w:val="20"/>
          <w:u w:val="single"/>
        </w:rPr>
        <w:t>Tax Obligations</w:t>
      </w:r>
      <w:r>
        <w:rPr>
          <w:rFonts w:ascii="Times New Roman;serif" w:hAnsi="Times New Roman;serif"/>
          <w:b w:val="false"/>
          <w:color w:val="000000"/>
          <w:sz w:val="20"/>
        </w:rPr>
        <w:t xml:space="preserve">. The Participant acknowledges that, to the extent that the aggregate Fair Market Value (determined as of the time the Option is granted) of all shares of Stock with respect to which Incentive Stock Options, including the Option,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acknowledges that an Incentive Stock Option exercised more than three months after the Participant’s Termination of Employment, other than by reason of death or Disability, will be taxed as a Non-Qualified Stock Option. </w:t>
      </w:r>
    </w:p>
    <w:p>
      <w:pPr>
        <w:pStyle w:val="TextBody"/>
        <w:bidi w:val="0"/>
        <w:spacing w:lineRule="auto" w:line="288" w:before="180" w:after="283"/>
        <w:ind w:left="0" w:right="0" w:firstLine="720"/>
        <w:jc w:val="left"/>
        <w:rPr/>
      </w:pPr>
      <w:r>
        <w:rPr>
          <w:rFonts w:ascii="Times New Roman;serif" w:hAnsi="Times New Roman;serif"/>
          <w:b w:val="false"/>
          <w:color w:val="000000"/>
          <w:sz w:val="20"/>
        </w:rPr>
        <w:t>Regardless of any action the Company or Participant’s employer, whether it be the Company or a Subsidiary (the “</w:t>
      </w:r>
      <w:r>
        <w:rPr>
          <w:rFonts w:ascii="Times New Roman;serif" w:hAnsi="Times New Roman;serif"/>
          <w:b/>
          <w:i/>
          <w:color w:val="000000"/>
          <w:sz w:val="20"/>
        </w:rPr>
        <w:t>Employer</w:t>
      </w:r>
      <w:r>
        <w:rPr>
          <w:color w:val="000000"/>
        </w:rPr>
        <w:t>”</w:t>
      </w:r>
      <w:r>
        <w:rPr>
          <w:rFonts w:ascii="Times New Roman;serif" w:hAnsi="Times New Roman;serif"/>
          <w:b w:val="false"/>
          <w:color w:val="000000"/>
          <w:sz w:val="20"/>
        </w:rPr>
        <w:t>) takes with respect to any or all income tax, social insurance, payroll tax, fringe benefits, payment on account or other tax related items related to Participant’s participation in the Plan and legally applicable to Participant (“</w:t>
      </w:r>
      <w:r>
        <w:rPr>
          <w:rFonts w:ascii="Times New Roman;serif" w:hAnsi="Times New Roman;serif"/>
          <w:b/>
          <w:i/>
          <w:color w:val="000000"/>
          <w:sz w:val="20"/>
        </w:rPr>
        <w:t>Tax-Related Items</w:t>
      </w:r>
      <w:r>
        <w:rPr>
          <w:color w:val="000000"/>
        </w:rPr>
        <w:t>”</w:t>
      </w:r>
      <w:r>
        <w:rPr>
          <w:rFonts w:ascii="Times New Roman;serif" w:hAnsi="Times New Roman;serif"/>
          <w:b w:val="false"/>
          <w:color w:val="000000"/>
          <w:sz w:val="20"/>
        </w:rPr>
        <w:t>), the Participant acknowledges that the ultimate liability for all Tax-Related Items is and remains the Participant’s responsibility and may exceed the amount actually withheld by the Company or the Employer. The Participant further acknowledges that the Company and/or the Employer (a) make no representations or undertakings regarding the treatment of any Tax-Related Items in connection with any aspect of the Option, including, but not limited to, the grant, vesting or exercise of the Option, the subsequent sale of shares of Stock acquired pursuant to such exercise and the receipt of any dividends; and (b) do not commit to and are under no obligation to structure the terms of the grant or any aspect of the Option to reduce or eliminate the Participant’s liability for Tax-Related Items or achieve any particular tax result. Further, if Participant has become subject to tax in more than one jurisdiction between the Grant Date and the date of any relevant taxable or tax withholding event, as applicable, the Participant acknowledges that the Company and/or the Employer (or former Employer, as applicable) may be required to withhold or account for Tax-Related Items in more than one jurisdiction.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relevant taxable or tax withholding event, as applicable, the Participant will pay or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 (i) withholding from the Participant’s wages or other cash compensation paid to the Participant by the Company and/or the Employer; or (ii) withholding from proceeds of the sale of shares of Stock acquired at exercise of the Option either through a voluntary sale or through a mandatory sale arranged by the Company (on the Participant’s behalf pursuant to this authorization); or (iii) withholding in shares of Stock to be issued at exercise of the Option.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Depending on the withholding method, the Company and/or the Employer may withhold or account for Tax-Related Items by considering statutory withholding rates or other withholding rates, including maximum applicable rates in the Participant’s jurisdiction. If the Tax-Related Items are satisfied by withholding in shares of Stock, for tax purposes, the Participant will be deemed to have been issued the full number of shares of Stock subject to the exercised Option, notwithstanding that a number of shares of Stock are held back solely for the purpose of satisfying the Tax-Related Items.</w:t>
      </w:r>
    </w:p>
    <w:p>
      <w:pPr>
        <w:pStyle w:val="TextBody"/>
        <w:bidi w:val="0"/>
        <w:spacing w:before="0" w:after="20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67665"/>
                <wp:effectExtent l="0" t="0" r="0" b="0"/>
                <wp:wrapNone/>
                <wp:docPr id="127" name="Frame12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Finally, the 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of Stock or the proceeds of the sale of shares of Stock, if the Participant fails to comply with his or her obligations in connection with the Tax-Related Items.</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ARTICLE IV.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EXERCISE OF OPTION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4.1</w:t>
      </w:r>
      <w:r>
        <w:rPr>
          <w:color w:val="000000"/>
        </w:rPr>
        <w:t>    </w:t>
      </w:r>
      <w:r>
        <w:rPr>
          <w:rFonts w:ascii="Times New Roman;serif" w:hAnsi="Times New Roman;serif"/>
          <w:b w:val="false"/>
          <w:color w:val="000000"/>
          <w:sz w:val="20"/>
          <w:u w:val="single"/>
        </w:rPr>
        <w:t>Person Eligible to Exercise</w:t>
      </w:r>
      <w:r>
        <w:rPr>
          <w:rFonts w:ascii="Times New Roman;serif" w:hAnsi="Times New Roman;serif"/>
          <w:b w:val="false"/>
          <w:color w:val="000000"/>
          <w:sz w:val="20"/>
        </w:rPr>
        <w:t xml:space="preserve">. Except as provided in Section 5.2(b), during the lifetime of the Participant, only the Participant may exercise the Option or any portion thereof. After the death of the Participant, any exercisable portion of the Option may, prior to the time when the Option becomes unexercisable under Section 3.3, be exercised by the Participant’s personal representative or by any person empowered to do so under the deceased Participant’s will or under the then applicable laws of descent and distribution.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4.2</w:t>
      </w:r>
      <w:r>
        <w:rPr>
          <w:color w:val="000000"/>
        </w:rPr>
        <w:t>    </w:t>
      </w:r>
      <w:r>
        <w:rPr>
          <w:rFonts w:ascii="Times New Roman;serif" w:hAnsi="Times New Roman;serif"/>
          <w:b w:val="false"/>
          <w:color w:val="000000"/>
          <w:sz w:val="20"/>
          <w:u w:val="single"/>
        </w:rPr>
        <w:t>Partial Exercise</w:t>
      </w:r>
      <w:r>
        <w:rPr>
          <w:rFonts w:ascii="Times New Roman;serif" w:hAnsi="Times New Roman;serif"/>
          <w:b w:val="false"/>
          <w:color w:val="000000"/>
          <w:sz w:val="20"/>
        </w:rPr>
        <w:t xml:space="preserve">. Any exercisable portion of the Option or the entire Option, if then wholly exercisable, may be exercised in whole or in part at any time prior to the time when the Option or portion thereof becomes unexercisable under Section 3.3.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4.3</w:t>
      </w:r>
      <w:r>
        <w:rPr>
          <w:color w:val="000000"/>
        </w:rPr>
        <w:t>    </w:t>
      </w:r>
      <w:r>
        <w:rPr>
          <w:rFonts w:ascii="Times New Roman;serif" w:hAnsi="Times New Roman;serif"/>
          <w:b w:val="false"/>
          <w:color w:val="000000"/>
          <w:sz w:val="20"/>
          <w:u w:val="single"/>
        </w:rPr>
        <w:t>Manner of Exercise</w:t>
      </w:r>
      <w:r>
        <w:rPr>
          <w:rFonts w:ascii="Times New Roman;serif" w:hAnsi="Times New Roman;serif"/>
          <w:b w:val="false"/>
          <w:color w:val="000000"/>
          <w:sz w:val="20"/>
        </w:rPr>
        <w:t xml:space="preserve">. The Option, or any exercisable portion thereof, may be exercised solely by delivery to the Secretary of the Company (or any third party administrator or other person or entity designated by the Company) of all of the following prior to the time when the Option or such portion thereof becomes unexercisable under Section 3.3: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An Exercise Notice in a form specified by the Administrator, stating that the Option or portion thereof is thereby exercised, such notice complying with all applicable rules established by the Administrator;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The receipt by the Company of full payment for the shares of Stock with respect to which the Option or portion thereof is exercised, including payment of any applicable Tax-Related Items, which may be in one or more of the forms of consideration permitted under Section 4.4;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Any other written representations as may be required in the Administrator’s reasonable discretion to evidence compliance with the Securities Act or any other applicable law, rule, or regulation; and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 xml:space="preserve">In the event the Option or portion thereof shall be exercised pursuant to Section 4.1 by any person or persons other than the Participant, appropriate proof of the right of such person or persons to exercise the Option.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any of the foregoing, the Company shall have the right to specify all conditions of the manner of exercise, which conditions may vary by country and which may be subject to change from time to time.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4.4</w:t>
      </w:r>
      <w:r>
        <w:rPr>
          <w:color w:val="000000"/>
        </w:rPr>
        <w:t>    </w:t>
      </w:r>
      <w:r>
        <w:rPr>
          <w:rFonts w:ascii="Times New Roman;serif" w:hAnsi="Times New Roman;serif"/>
          <w:b w:val="false"/>
          <w:color w:val="000000"/>
          <w:sz w:val="20"/>
          <w:u w:val="single"/>
        </w:rPr>
        <w:t>Method of Payment</w:t>
      </w:r>
      <w:r>
        <w:rPr>
          <w:rFonts w:ascii="Times New Roman;serif" w:hAnsi="Times New Roman;serif"/>
          <w:b w:val="false"/>
          <w:color w:val="000000"/>
          <w:sz w:val="20"/>
        </w:rPr>
        <w:t xml:space="preserve">. Payment of the exercise price, and any applicable Tax-Related Items, shall be by any of the following, or a combination thereof, at the election of the Participant: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Cash;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Check; </w:t>
      </w:r>
    </w:p>
    <w:p>
      <w:pPr>
        <w:pStyle w:val="TextBody"/>
        <w:bidi w:val="0"/>
        <w:spacing w:before="0" w:after="0"/>
        <w:jc w:val="left"/>
        <w:rPr/>
      </w:pPr>
      <w:r>
        <w:rPr/>
      </w:r>
    </w:p>
    <w:p>
      <w:pPr>
        <w:pStyle w:val="TextBody"/>
        <w:bidi w:val="0"/>
        <w:spacing w:lineRule="auto" w:line="288"/>
        <w:ind w:left="0" w:right="0" w:firstLine="576"/>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Broker Assisted Cashless Exercise. With the consent of the Administrator, delivery of a notice that the Participant has placed a market sell order with a broker with respect to shares of Stock then issuable upon exercise of the Option, and that the broker has been directed to pay a sufficient portion of the net proceeds of the sale to the Company in satisfaction of the aggregate exercise price;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that payment of such proceeds is then made to the Company upon settlement of such sale; </w:t>
      </w:r>
    </w:p>
    <w:p>
      <w:pPr>
        <w:pStyle w:val="TextBody"/>
        <w:bidi w:val="0"/>
        <w:spacing w:before="0" w:after="20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7665"/>
                <wp:effectExtent l="0" t="0" r="0" b="0"/>
                <wp:wrapNone/>
                <wp:docPr id="128" name="Frame12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Share Surrender. With the consent of the Administrator, surrender of other shares of Stock which (i) in the case of shares of Stock acquired from the Company, have been owned by the Participant for more than six months on the date of surrender (or such other minimum length of time as the Administrator determines from time to time to be necessary to avoid adverse accounting consequences or violation of any applicable law, rule or regulation), and (ii) have a Fair Market Value on the date of surrender equal to the aggregate exercise price of the shares of Stock with respect to which the Option or portion thereof is being exercised; or</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(e)</w:t>
      </w:r>
      <w:r>
        <w:rPr>
          <w:color w:val="000000"/>
        </w:rPr>
        <w:t>    </w:t>
      </w:r>
      <w:r>
        <w:rPr>
          <w:rFonts w:ascii="Times New Roman;serif" w:hAnsi="Times New Roman;serif"/>
          <w:b w:val="false"/>
          <w:color w:val="000000"/>
          <w:sz w:val="20"/>
        </w:rPr>
        <w:t xml:space="preserve">Net Exercise. With the consent of the Administrator, surrendered shares of Stock issuable upon the exercise of the Option having a Fair Market Value on the date of exercise equal to the aggregate exercise price of the shares of Stock with respect to which the Option or portion thereof is being exercised.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4.5</w:t>
      </w:r>
      <w:r>
        <w:rPr>
          <w:color w:val="000000"/>
        </w:rPr>
        <w:t>    </w:t>
      </w:r>
      <w:r>
        <w:rPr>
          <w:rFonts w:ascii="Times New Roman;serif" w:hAnsi="Times New Roman;serif"/>
          <w:b w:val="false"/>
          <w:color w:val="000000"/>
          <w:sz w:val="20"/>
          <w:u w:val="single"/>
        </w:rPr>
        <w:t>Conditions to Issuance of Stock Certificates</w:t>
      </w:r>
      <w:r>
        <w:rPr>
          <w:rFonts w:ascii="Times New Roman;serif" w:hAnsi="Times New Roman;serif"/>
          <w:b w:val="false"/>
          <w:color w:val="000000"/>
          <w:sz w:val="20"/>
        </w:rPr>
        <w:t xml:space="preserve">. The shares of Stock deliverable upon the exercise of the Option, or any portion thereof, may be either previously authorized but unissued shares of Stock or issued shares of Stock which have then been reacquired by the Company. Such shares of Stock shall be fully paid and nonassessable. The Company shall not be required to issue or deliver any shares of Stock purchased upon the exercise of the Option or portion thereof prior to fulfillment of all of the following conditions: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The admission of such shares of Stock to listing on all stock exchanges on which such Stock is then listed;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The completion of any registration or other qualification of such shares of Stock under any state or federal law or under rulings or regulations of the Securities and Exchange Commission or of any other governmental regulatory body, which the Administrator shall, in its absolute discretion, deem necessary or advisable;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The obtaining of any approval or other clearance from any state or federal governmental agency which the Administrator shall, in its absolute discretion, determine to be necessary or advisable;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 xml:space="preserve">The receipt by the Company of full payment for such shares of Stock, including payment of any applicable withholding tax, which may be in one or more of the forms of consideration permitted under Section 4.4; and </w:t>
      </w:r>
    </w:p>
    <w:p>
      <w:pPr>
        <w:pStyle w:val="TextBody"/>
        <w:bidi w:val="0"/>
        <w:spacing w:before="0" w:after="0"/>
        <w:jc w:val="left"/>
        <w:rPr/>
      </w:pPr>
      <w:r>
        <w:rPr/>
      </w:r>
    </w:p>
    <w:p>
      <w:pPr>
        <w:pStyle w:val="TextBody"/>
        <w:bidi w:val="0"/>
        <w:spacing w:lineRule="auto" w:line="288" w:before="0" w:after="0"/>
        <w:ind w:left="0" w:right="0" w:firstLine="576"/>
        <w:jc w:val="left"/>
        <w:rPr/>
      </w:pPr>
      <w:r>
        <w:rPr>
          <w:rFonts w:ascii="Times New Roman;serif" w:hAnsi="Times New Roman;serif"/>
          <w:b w:val="false"/>
          <w:color w:val="000000"/>
          <w:sz w:val="20"/>
        </w:rPr>
        <w:t>(e)</w:t>
      </w:r>
      <w:r>
        <w:rPr>
          <w:color w:val="000000"/>
        </w:rPr>
        <w:t>    </w:t>
      </w:r>
      <w:r>
        <w:rPr>
          <w:rFonts w:ascii="Times New Roman;serif" w:hAnsi="Times New Roman;serif"/>
          <w:b w:val="false"/>
          <w:color w:val="000000"/>
          <w:sz w:val="20"/>
        </w:rPr>
        <w:t>The lapse of such reasonable period of time following the exercise of the Option as the Administrator may from time to time establish for reasons of administrative convenience.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4.6</w:t>
      </w:r>
      <w:r>
        <w:rPr>
          <w:color w:val="000000"/>
        </w:rPr>
        <w:t>    </w:t>
      </w:r>
      <w:r>
        <w:rPr>
          <w:rFonts w:ascii="Times New Roman;serif" w:hAnsi="Times New Roman;serif"/>
          <w:b w:val="false"/>
          <w:color w:val="000000"/>
          <w:sz w:val="20"/>
          <w:u w:val="single"/>
        </w:rPr>
        <w:t>Rights as Stockholder</w:t>
      </w:r>
      <w:r>
        <w:rPr>
          <w:rFonts w:ascii="Times New Roman;serif" w:hAnsi="Times New Roman;serif"/>
          <w:b w:val="false"/>
          <w:color w:val="000000"/>
          <w:sz w:val="20"/>
        </w:rPr>
        <w:t xml:space="preserve">. The holder of the Option shall not be, nor have any of the rights or privileges of, a stockholder of the Company in respect of any shares of Stock purchasable upon the exercise of any part of the Option unless and until such shares of Stock shall have been issued by the Company to such holder (as evidenced by the appropriate entry on the books of the Company or of a duly authorized transfer agent of the Company). No adjustment will be made for a dividend or other right for which the record date is prior to the date the shares of Stock are issued, except as provided in Section 6 of the Plan. </w:t>
      </w:r>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ARTICLE V.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OTHER PROVISIONS </w:t>
      </w:r>
    </w:p>
    <w:p>
      <w:pPr>
        <w:pStyle w:val="TextBody"/>
        <w:bidi w:val="0"/>
        <w:spacing w:lineRule="auto" w:line="288" w:before="180" w:after="283"/>
        <w:ind w:left="0" w:right="0" w:firstLine="360"/>
        <w:jc w:val="left"/>
        <w:rPr/>
      </w:pPr>
      <w:r>
        <w:rPr>
          <w:rFonts w:ascii="Times New Roman;serif" w:hAnsi="Times New Roman;serif"/>
          <w:b w:val="false"/>
          <w:color w:val="000000"/>
          <w:sz w:val="20"/>
        </w:rPr>
        <w:t>5.1</w:t>
      </w:r>
      <w:r>
        <w:rPr>
          <w:color w:val="000000"/>
        </w:rPr>
        <w:t>    </w:t>
      </w:r>
      <w:r>
        <w:rPr>
          <w:rFonts w:ascii="Times New Roman;serif" w:hAnsi="Times New Roman;serif"/>
          <w:b w:val="false"/>
          <w:color w:val="000000"/>
          <w:sz w:val="20"/>
          <w:u w:val="single"/>
        </w:rPr>
        <w:t>Administration</w:t>
      </w:r>
      <w:r>
        <w:rPr>
          <w:rFonts w:ascii="Times New Roman;serif" w:hAnsi="Times New Roman;serif"/>
          <w:b w:val="false"/>
          <w:color w:val="000000"/>
          <w:sz w:val="20"/>
        </w:rPr>
        <w:t xml:space="preserve">.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 </w:t>
      </w:r>
    </w:p>
    <w:p>
      <w:pPr>
        <w:pStyle w:val="TextBody"/>
        <w:bidi w:val="0"/>
        <w:spacing w:before="0" w:after="20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67665"/>
                <wp:effectExtent l="0" t="0" r="0" b="0"/>
                <wp:wrapNone/>
                <wp:docPr id="129" name="Frame12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5.2</w:t>
      </w:r>
      <w:r>
        <w:rPr>
          <w:color w:val="000000"/>
        </w:rPr>
        <w:t>    </w:t>
      </w:r>
      <w:r>
        <w:rPr>
          <w:rFonts w:ascii="Times New Roman;serif" w:hAnsi="Times New Roman;serif"/>
          <w:b w:val="false"/>
          <w:color w:val="000000"/>
          <w:sz w:val="20"/>
          <w:u w:val="single"/>
        </w:rPr>
        <w:t>Option Transferability</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 xml:space="preserve">Except as otherwise set forth in Section 5.2(b), (i)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shall be liable for the debts, contracts or engagements of the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 (ii) during the lifetime of the Participant, only the Participant may exercise the Option or any portion thereof. After the death of the Participant, any exercisable portion of the Option may, prior to the time when the Option becomes unexercisable under Section 3.3, be exercised by the Participant’s personal representative or by any person empowered to do so under the deceased Participant’s will or under the then applicable laws of descent and distribution.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Notwithstanding the foregoing, with respect to participants who are corporate officers or operating presidents, the Administrator may permit any portion of the Option that is not an Incentive Stock Option to be transferred to, exercised by and paid to certain persons or entities related to such Participant, including but not limited to members of such Participant’s family, charitable institutions or trusts or other entities whose beneficiaries or beneficial owners are members of such Participant’s family and/or charitable institutions, or to such other persons or entities as may be expressly approved by the Administrator, pursuant to such conditions and procedures as the Administrator may establish. Any permitted transfer shall be subject to the condition that the Administrator receive evidence satisfactory to it that the transfer is being made for estate and/or tax planning purposes (or to a “blind trust” in connection with such Participant’s termination of employment or service with the Company or a Subsidiary to assume a position with a governmental, charitable, educational or similar non-profit institution) and on a basis consistent with the Company’s lawful issue of securities.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5.3</w:t>
      </w:r>
      <w:r>
        <w:rPr>
          <w:color w:val="000000"/>
        </w:rPr>
        <w:t>    </w:t>
      </w:r>
      <w:r>
        <w:rPr>
          <w:rFonts w:ascii="Times New Roman;serif" w:hAnsi="Times New Roman;serif"/>
          <w:b w:val="false"/>
          <w:color w:val="000000"/>
          <w:sz w:val="20"/>
          <w:u w:val="single"/>
        </w:rPr>
        <w:t>Adjustments</w:t>
      </w:r>
      <w:r>
        <w:rPr>
          <w:rFonts w:ascii="Times New Roman;serif" w:hAnsi="Times New Roman;serif"/>
          <w:b w:val="false"/>
          <w:color w:val="000000"/>
          <w:sz w:val="20"/>
        </w:rPr>
        <w:t>. The Participant acknowledges that the Option is subject to modification and termination in certain events as provided in this Agreement and Section 6 of the Plan.</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5.4</w:t>
      </w:r>
      <w:r>
        <w:rPr>
          <w:color w:val="000000"/>
        </w:rPr>
        <w:t>    </w:t>
      </w:r>
      <w:r>
        <w:rPr>
          <w:rFonts w:ascii="Times New Roman;serif" w:hAnsi="Times New Roman;serif"/>
          <w:b w:val="false"/>
          <w:color w:val="000000"/>
          <w:sz w:val="20"/>
          <w:u w:val="single"/>
        </w:rPr>
        <w:t>Appendix</w:t>
      </w:r>
      <w:r>
        <w:rPr>
          <w:rFonts w:ascii="Times New Roman;serif" w:hAnsi="Times New Roman;serif"/>
          <w:b w:val="false"/>
          <w:color w:val="000000"/>
          <w:sz w:val="20"/>
        </w:rPr>
        <w:t>. Notwithstanding any provisions in this Agreement, the Option grant shall be subject to any additional or different terms and conditions set forth in the attached Appendix to this Option Agreement for the Participant’s country (the “</w:t>
      </w:r>
      <w:r>
        <w:rPr>
          <w:rFonts w:ascii="Times New Roman;serif" w:hAnsi="Times New Roman;serif"/>
          <w:b/>
          <w:i/>
          <w:color w:val="000000"/>
          <w:sz w:val="20"/>
        </w:rPr>
        <w:t>Appendix</w:t>
      </w:r>
      <w:r>
        <w:rPr>
          <w:color w:val="000000"/>
        </w:rPr>
        <w:t>”</w:t>
      </w:r>
      <w:r>
        <w:rPr>
          <w:rFonts w:ascii="Times New Roman;serif" w:hAnsi="Times New Roman;serif"/>
          <w:b w:val="false"/>
          <w:color w:val="000000"/>
          <w:sz w:val="20"/>
        </w:rPr>
        <w:t>).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to comply with local law or facilitate the administration of the Plan. The Appendix constitutes part of this Agreement.</w:t>
      </w:r>
    </w:p>
    <w:p>
      <w:pPr>
        <w:pStyle w:val="TextBody"/>
        <w:bidi w:val="0"/>
        <w:spacing w:before="0" w:after="0"/>
        <w:jc w:val="left"/>
        <w:rPr/>
      </w:pPr>
      <w:r>
        <w:rPr/>
      </w:r>
    </w:p>
    <w:p>
      <w:pPr>
        <w:pStyle w:val="TextBody"/>
        <w:bidi w:val="0"/>
        <w:spacing w:lineRule="auto" w:line="288"/>
        <w:ind w:left="0" w:right="0" w:firstLine="360"/>
        <w:jc w:val="left"/>
        <w:rPr/>
      </w:pPr>
      <w:r>
        <w:rPr>
          <w:rFonts w:ascii="Times New Roman;serif" w:hAnsi="Times New Roman;serif"/>
          <w:b w:val="false"/>
          <w:color w:val="000000"/>
          <w:sz w:val="20"/>
        </w:rPr>
        <w:t>5.5</w:t>
      </w:r>
      <w:r>
        <w:rPr>
          <w:color w:val="000000"/>
        </w:rPr>
        <w:t>    </w:t>
      </w:r>
      <w:r>
        <w:rPr>
          <w:rFonts w:ascii="Times New Roman;serif" w:hAnsi="Times New Roman;serif"/>
          <w:b w:val="false"/>
          <w:color w:val="000000"/>
          <w:sz w:val="20"/>
          <w:u w:val="single"/>
        </w:rPr>
        <w:t>Insider Trading/Market Abuse Laws</w:t>
      </w:r>
      <w:r>
        <w:rPr>
          <w:rFonts w:ascii="Times New Roman;serif" w:hAnsi="Times New Roman;serif"/>
          <w:b w:val="false"/>
          <w:color w:val="000000"/>
          <w:sz w:val="20"/>
        </w:rPr>
        <w:t>. The Participant understands that he or she may be subject to insider trading restrictions and/or market abuse laws in applicable jurisdictions, including but not limited to the United States, the Participant’s country, the Service Provider’s country, and the country in which the shares of Stock may be listed, which may affect the Participant’s ability, directly or indirectly, to purchase or sell or attempt to sell or otherwise dispose of shares of Stock, rights to shares of Stock (e.g., Options), or rights linked to the value of shares of Stock, during such times as the Participant is considered to have “inside information” regarding the Company (as defined by the laws and/or regulation in the applicable jurisdiction(s)). Local insider trading laws and regulations may prohibit the cancellation or amendment of orders the Participant placed before possessing inside information. Furthermore, the Participant may be prohibited from (a) disclosing inside information to any third party, including fellow employees or service providers (other than on a “need to know” basis) and (b) “tipping” third parties or causing them to otherwise buy or sell securities. Any restrictions under these laws or regulations are separate from and in addition to any restrictions that may be imposed under any applicable Company insider trading policy. The Participant is responsible for ensuring compliance with any applicable restrictions and the Participant should consult with his or her personal legal advisor on this matter.</w:t>
      </w:r>
    </w:p>
    <w:p>
      <w:pPr>
        <w:pStyle w:val="TextBody"/>
        <w:bidi w:val="0"/>
        <w:spacing w:before="0" w:after="200"/>
        <w:jc w:val="righ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7665"/>
                <wp:effectExtent l="0" t="0" r="0" b="0"/>
                <wp:wrapNone/>
                <wp:docPr id="130" name="Frame12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5.6</w:t>
      </w:r>
      <w:r>
        <w:rPr>
          <w:color w:val="000000"/>
        </w:rPr>
        <w:t>    </w:t>
      </w:r>
      <w:r>
        <w:rPr>
          <w:rFonts w:ascii="Times New Roman;serif" w:hAnsi="Times New Roman;serif"/>
          <w:b w:val="false"/>
          <w:color w:val="000000"/>
          <w:sz w:val="20"/>
          <w:u w:val="single"/>
        </w:rPr>
        <w:t>No Advice Regarding Grant</w:t>
      </w:r>
      <w:r>
        <w:rPr>
          <w:rFonts w:ascii="Times New Roman;serif" w:hAnsi="Times New Roman;serif"/>
          <w:b w:val="false"/>
          <w:color w:val="000000"/>
          <w:sz w:val="20"/>
        </w:rPr>
        <w:t xml:space="preserve">. The Company is not providing any tax, legal or financial advice, nor is the Company making recommendations regarding the Participant’s participation in the Plan, or the Participant’s acquisition or sale of shares of Stock acquired upon exercise. The Participant should consult with his or her own personal tax, legal and financial advisors regarding his or her participation in the Plan before taking any actions related to the Plan.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5.7</w:t>
      </w:r>
      <w:r>
        <w:rPr>
          <w:color w:val="000000"/>
        </w:rPr>
        <w:t>    </w:t>
      </w:r>
      <w:r>
        <w:rPr>
          <w:rFonts w:ascii="Times New Roman;serif" w:hAnsi="Times New Roman;serif"/>
          <w:b w:val="false"/>
          <w:color w:val="000000"/>
          <w:sz w:val="20"/>
          <w:u w:val="single"/>
        </w:rPr>
        <w:t>Notices</w:t>
      </w:r>
      <w:r>
        <w:rPr>
          <w:rFonts w:ascii="Times New Roman;serif" w:hAnsi="Times New Roman;serif"/>
          <w:b w:val="false"/>
          <w:color w:val="000000"/>
          <w:sz w:val="20"/>
        </w:rPr>
        <w:t xml:space="preserve">. Any notice to be given under the terms of this Agreement to the Company shall be addressed to the Company in care of the Secretary of the Company, and any notice to be given to the Participant shall be addressed to the Participant at the most recent address set forth in the Company’s books and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5.8</w:t>
      </w:r>
      <w:r>
        <w:rPr>
          <w:color w:val="000000"/>
        </w:rPr>
        <w:t>    </w:t>
      </w:r>
      <w:r>
        <w:rPr>
          <w:rFonts w:ascii="Times New Roman;serif" w:hAnsi="Times New Roman;serif"/>
          <w:b w:val="false"/>
          <w:color w:val="000000"/>
          <w:sz w:val="20"/>
          <w:u w:val="single"/>
        </w:rPr>
        <w:t>Titles</w:t>
      </w:r>
      <w:r>
        <w:rPr>
          <w:rFonts w:ascii="Times New Roman;serif" w:hAnsi="Times New Roman;serif"/>
          <w:b w:val="false"/>
          <w:color w:val="000000"/>
          <w:sz w:val="20"/>
        </w:rPr>
        <w:t xml:space="preserve">. Titles are provided herein for convenience only and are not to serve as a basis for interpretation or construction of this Agreement.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5.9</w:t>
      </w:r>
      <w:r>
        <w:rPr>
          <w:color w:val="000000"/>
        </w:rPr>
        <w:t>    </w:t>
      </w:r>
      <w:r>
        <w:rPr>
          <w:rFonts w:ascii="Times New Roman;serif" w:hAnsi="Times New Roman;serif"/>
          <w:b w:val="false"/>
          <w:color w:val="000000"/>
          <w:sz w:val="20"/>
          <w:u w:val="single"/>
        </w:rPr>
        <w:t>Governing Law and Venue; Severability</w:t>
      </w:r>
      <w:r>
        <w:rPr>
          <w:rFonts w:ascii="Times New Roman;serif" w:hAnsi="Times New Roman;serif"/>
          <w:b w:val="false"/>
          <w:color w:val="000000"/>
          <w:sz w:val="20"/>
        </w:rPr>
        <w:t>. The validity, interpretation, construction and performance of this Agreement, and all acts and transactions pursuant hereto and the rights and obligations of the parties hereto shall be governed, construed and interpreted in accordance with the laws of the state of Delaware, without giving effect to principles of conflicts of law. For purposes of litigating any dispute that may arise directly or indirectly from this Agreement, the parties hereby submit and consent to the exclusive jurisdiction of the state of Delaware and agree that any such litigation shall be conducted only in the courts of Delaware or the federal courts of the United States located in Delaware and no other courts. In the event that any provision hereof becomes or is declared by a court of competent jurisdiction to be illegal, unenforceable or void, this Agreement shall continue in full force and effect.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5.10</w:t>
      </w:r>
      <w:r>
        <w:rPr>
          <w:color w:val="000000"/>
        </w:rPr>
        <w:t xml:space="preserve">     </w:t>
      </w:r>
      <w:r>
        <w:rPr>
          <w:rFonts w:ascii="Times New Roman;serif" w:hAnsi="Times New Roman;serif"/>
          <w:b w:val="false"/>
          <w:color w:val="000000"/>
          <w:sz w:val="20"/>
          <w:u w:val="single"/>
        </w:rPr>
        <w:t>Conformity to Securities Laws</w:t>
      </w:r>
      <w:r>
        <w:rPr>
          <w:rFonts w:ascii="Times New Roman;serif" w:hAnsi="Times New Roman;serif"/>
          <w:b w:val="false"/>
          <w:color w:val="000000"/>
          <w:sz w:val="20"/>
        </w:rPr>
        <w:t xml:space="preserve">. The Participant acknowledges that the Plan and this Agreement are intended to conform to the extent necessary with all provisions of the U.S. Securities Act and the Exchange Act and any and all regulations and rules promulgated by the U.S. Securities and Exchange Commission thereunder, and any U.S. or non-U.S.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5.11</w:t>
      </w:r>
      <w:r>
        <w:rPr>
          <w:color w:val="000000"/>
        </w:rPr>
        <w:t xml:space="preserve">     </w:t>
      </w:r>
      <w:r>
        <w:rPr>
          <w:rFonts w:ascii="Times New Roman;serif" w:hAnsi="Times New Roman;serif"/>
          <w:b w:val="false"/>
          <w:color w:val="000000"/>
          <w:sz w:val="20"/>
          <w:u w:val="single"/>
        </w:rPr>
        <w:t>Amendments, Suspension and Termination</w:t>
      </w:r>
      <w:r>
        <w:rPr>
          <w:rFonts w:ascii="Times New Roman;serif" w:hAnsi="Times New Roman;serif"/>
          <w:b w:val="false"/>
          <w:color w:val="000000"/>
          <w:sz w:val="20"/>
        </w:rPr>
        <w:t>. To the extent permitted by the Plan, this Agreement may be wholly or partially amended or otherwise modified, suspended or terminated at any time or from time to time by the Committee or the Board</w:t>
      </w:r>
      <w:r>
        <w:rPr>
          <w:rFonts w:ascii="Times New Roman;serif" w:hAnsi="Times New Roman;serif"/>
          <w:b w:val="false"/>
          <w:i/>
          <w:color w:val="000000"/>
          <w:sz w:val="20"/>
        </w:rPr>
        <w:t>, provided,</w:t>
      </w:r>
      <w:r>
        <w:rPr>
          <w:color w:val="000000"/>
        </w:rPr>
        <w:t xml:space="preserve"> </w:t>
      </w:r>
      <w:r>
        <w:rPr>
          <w:rFonts w:ascii="Times New Roman;serif" w:hAnsi="Times New Roman;serif"/>
          <w:b w:val="false"/>
          <w:color w:val="000000"/>
          <w:sz w:val="20"/>
        </w:rPr>
        <w:t xml:space="preserve">that, except as may otherwise be provided by the Plan, no amendment, modification, suspension or termination of this Agreement shall adversely affect the Option in any material way without the prior written consent of the Participant.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5.12</w:t>
      </w:r>
      <w:r>
        <w:rPr>
          <w:color w:val="000000"/>
        </w:rPr>
        <w:t xml:space="preserve">     </w:t>
      </w:r>
      <w:r>
        <w:rPr>
          <w:rFonts w:ascii="Times New Roman;serif" w:hAnsi="Times New Roman;serif"/>
          <w:b w:val="false"/>
          <w:color w:val="000000"/>
          <w:sz w:val="20"/>
          <w:u w:val="single"/>
        </w:rPr>
        <w:t>Successors and Assigns</w:t>
      </w:r>
      <w:r>
        <w:rPr>
          <w:rFonts w:ascii="Times New Roman;serif" w:hAnsi="Times New Roman;serif"/>
          <w:b w:val="false"/>
          <w:color w:val="000000"/>
          <w:sz w:val="20"/>
        </w:rPr>
        <w:t xml:space="preserve">. The Company may assign any of its rights under this Agreement to single or multiple assignees, and this Agreement shall inure to the benefit of the successors and assigns of the Company. Subject to the restrictions on transfer herein set forth in Section 5.2, this Agreement shall be binding upon the Participant and his or her heirs, executors, administrators, successors and assigns. </w:t>
      </w:r>
    </w:p>
    <w:p>
      <w:pPr>
        <w:pStyle w:val="TextBody"/>
        <w:bidi w:val="0"/>
        <w:spacing w:before="0" w:after="0"/>
        <w:jc w:val="left"/>
        <w:rPr/>
      </w:pPr>
      <w:r>
        <w:rPr/>
      </w:r>
    </w:p>
    <w:p>
      <w:pPr>
        <w:pStyle w:val="TextBody"/>
        <w:bidi w:val="0"/>
        <w:spacing w:lineRule="auto" w:line="288"/>
        <w:ind w:left="0" w:right="0" w:firstLine="360"/>
        <w:jc w:val="left"/>
        <w:rPr/>
      </w:pPr>
      <w:r>
        <w:rPr>
          <w:rFonts w:ascii="Times New Roman;serif" w:hAnsi="Times New Roman;serif"/>
          <w:b w:val="false"/>
          <w:color w:val="000000"/>
          <w:sz w:val="20"/>
        </w:rPr>
        <w:t>5.13</w:t>
      </w:r>
      <w:r>
        <w:rPr>
          <w:color w:val="000000"/>
        </w:rPr>
        <w:t xml:space="preserve">     </w:t>
      </w:r>
      <w:r>
        <w:rPr>
          <w:rFonts w:ascii="Times New Roman;serif" w:hAnsi="Times New Roman;serif"/>
          <w:b w:val="false"/>
          <w:color w:val="000000"/>
          <w:sz w:val="20"/>
          <w:u w:val="single"/>
        </w:rPr>
        <w:t>Notification of Disposition</w:t>
      </w:r>
      <w:r>
        <w:rPr>
          <w:rFonts w:ascii="Times New Roman;serif" w:hAnsi="Times New Roman;serif"/>
          <w:b w:val="false"/>
          <w:color w:val="000000"/>
          <w:sz w:val="20"/>
        </w:rPr>
        <w:t xml:space="preserve">. If this Option is designated as an Incentive Stock Option, the Participant shall give prompt notice to the Company of any disposition or other transfer of any shares of Stock acquired under this Agreement if such disposition or transfer is made (a) within two years from the Grant Date with respect to such shares of Stock or (b) within one year after the transfer of such shares of Stock to him. Such notice shall specify the </w:t>
      </w:r>
    </w:p>
    <w:p>
      <w:pPr>
        <w:pStyle w:val="TextBody"/>
        <w:bidi w:val="0"/>
        <w:spacing w:before="0" w:after="20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67665"/>
                <wp:effectExtent l="0" t="0" r="0" b="0"/>
                <wp:wrapNone/>
                <wp:docPr id="131" name="Frame13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of such disposition or other transfer and the amount realized, in cash, other property, assumption of indebtedness or other consideration, by the Participant in such disposition or other transfer.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5.14</w:t>
      </w:r>
      <w:r>
        <w:rPr>
          <w:color w:val="000000"/>
        </w:rPr>
        <w:t xml:space="preserve">     </w:t>
      </w:r>
      <w:r>
        <w:rPr>
          <w:rFonts w:ascii="Times New Roman;serif" w:hAnsi="Times New Roman;serif"/>
          <w:b w:val="false"/>
          <w:color w:val="000000"/>
          <w:sz w:val="20"/>
          <w:u w:val="single"/>
        </w:rPr>
        <w:t>Limitations Applicable to Section 16 Persons</w:t>
      </w:r>
      <w:r>
        <w:rPr>
          <w:rFonts w:ascii="Times New Roman;serif" w:hAnsi="Times New Roman;serif"/>
          <w:b w:val="false"/>
          <w:color w:val="000000"/>
          <w:sz w:val="20"/>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5.15</w:t>
      </w:r>
      <w:r>
        <w:rPr>
          <w:color w:val="000000"/>
        </w:rPr>
        <w:t xml:space="preserve">     </w:t>
      </w:r>
      <w:r>
        <w:rPr>
          <w:rFonts w:ascii="Times New Roman;serif" w:hAnsi="Times New Roman;serif"/>
          <w:b w:val="false"/>
          <w:color w:val="000000"/>
          <w:sz w:val="20"/>
          <w:u w:val="single"/>
        </w:rPr>
        <w:t>Not a Contract of Employment</w:t>
      </w:r>
      <w:r>
        <w:rPr>
          <w:rFonts w:ascii="Times New Roman;serif" w:hAnsi="Times New Roman;serif"/>
          <w:b w:val="false"/>
          <w:color w:val="000000"/>
          <w:sz w:val="20"/>
        </w:rPr>
        <w:t>. Nothing in this Agreement or in the Plan shall confer upon the Participant any right to continue to serve as an employee or other service provider of the Company or any of its Subsidiaries. The terms of the Participant’s employment or service relationship are determined by the Company or the Employer’s policy, and by the terms of any employment or service contract to which the Participant might be party. This Agreement creates no rights to continued employment, or any other service relationship, nor does it limit the discretion the Company or the Employer would otherwise have to terminate Participant’s employment or other service relationship, with or without Cause. The Option and any shares of Stock acquired pursuant to the Plan (including any value assigned at grant, any acquisition gain at exercise, any capital gains upon sale of the shares of Stock and any income or earnings from holding the shares of Stock) are not part of normal or expected compensation or salary, including, but not limited to, for purposes of calculating any severance, resignation, termination, redundancy, dismissal, end of service payments, bonuses, long-service awards, pension or retirement or welfare benefits or similar payments.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5.16</w:t>
      </w:r>
      <w:r>
        <w:rPr>
          <w:color w:val="000000"/>
        </w:rPr>
        <w:t xml:space="preserve">     </w:t>
      </w:r>
      <w:r>
        <w:rPr>
          <w:rFonts w:ascii="Times New Roman;serif" w:hAnsi="Times New Roman;serif"/>
          <w:b w:val="false"/>
          <w:color w:val="000000"/>
          <w:sz w:val="20"/>
          <w:u w:val="single"/>
        </w:rPr>
        <w:t>Electronic Delivery and Participation</w:t>
      </w:r>
      <w:r>
        <w:rPr>
          <w:rFonts w:ascii="Times New Roman;serif" w:hAnsi="Times New Roman;serif"/>
          <w:b w:val="false"/>
          <w:color w:val="000000"/>
          <w:sz w:val="20"/>
        </w:rPr>
        <w:t>. The Company may, in its sole discretion, decide to deliver any documents related to current or future participation in the Plan by electronic means. The Participant hereby consents to receive such documents by electronic delivery and agree to participate in the Plan through an on-line or electronic system established and maintained by the Company or any third party designated by the Company.</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5.17</w:t>
      </w:r>
      <w:r>
        <w:rPr>
          <w:color w:val="000000"/>
        </w:rPr>
        <w:t xml:space="preserve">     </w:t>
      </w:r>
      <w:r>
        <w:rPr>
          <w:rFonts w:ascii="Times New Roman;serif" w:hAnsi="Times New Roman;serif"/>
          <w:b w:val="false"/>
          <w:color w:val="000000"/>
          <w:sz w:val="20"/>
          <w:u w:val="single"/>
        </w:rPr>
        <w:t>Imposition of Other Requirements</w:t>
      </w:r>
      <w:r>
        <w:rPr>
          <w:rFonts w:ascii="Times New Roman;serif" w:hAnsi="Times New Roman;serif"/>
          <w:b/>
          <w:i/>
          <w:color w:val="000000"/>
          <w:sz w:val="20"/>
          <w:u w:val="single"/>
        </w:rPr>
        <w:t>[FOR NEOS ONLY; Clawback Requirements]</w:t>
      </w:r>
      <w:r>
        <w:rPr>
          <w:rFonts w:ascii="Times New Roman;serif" w:hAnsi="Times New Roman;serif"/>
          <w:b w:val="false"/>
          <w:color w:val="000000"/>
          <w:sz w:val="20"/>
        </w:rPr>
        <w:t xml:space="preserve">. The Company reserves the right to impose other requirements on the Participant’s participation in the Plan, on the Options and on any shares of Stock acquired upon exercise of the Option, to the extent the Company determines it is necessary or advisable for legal or administrative reasons, and to require the Participant to sign any additional agreements or undertakings that may be necessary to accomplish the foregoing. </w:t>
      </w:r>
      <w:r>
        <w:rPr>
          <w:rFonts w:ascii="Times New Roman;serif" w:hAnsi="Times New Roman;serif"/>
          <w:b/>
          <w:i/>
          <w:color w:val="000000"/>
          <w:sz w:val="20"/>
        </w:rPr>
        <w:t>[FOR NEOS ONLY: Notwithstanding anything in this Agreement to the contrary, to the extent the Participant is a person subject to the requirements of Rule 10D-1 under the Exchange Act, the Participant acknowledges and agrees that this Agreement and any compensation or other benefits or amounts described herein are subject to the terms and conditions of the Company’s clawback policy or policies (if any) as may be in effect from time to time, including specifically to implement Section 10D of the Exchange Act and any applicable rules or regulations promulgated thereunder (including applicable rules and regulations of any national securities exchange on which the Company’s securities may be traded) (collectively, the “Compensation Recovery Policy”), and that applicable sections of this Agreement and/or any related documents shall be, as applicable, deemed superseded by and subject to the terms and conditions of the Compensation Recovery Policy from and after the effective date thereof. Further, by signing this Agreement, the Participant acknowledges and agrees that the Participant consents to be bound by the terms of the Agreement, including its clawback provisions (and consents to fully cooperate with the Company in connection with any of the undersigned’s obligations pursuant to the Agreement and its clawback provisions).]</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5.18</w:t>
      </w:r>
      <w:r>
        <w:rPr>
          <w:color w:val="000000"/>
        </w:rPr>
        <w:t xml:space="preserve">     </w:t>
      </w:r>
      <w:r>
        <w:rPr>
          <w:rFonts w:ascii="Times New Roman;serif" w:hAnsi="Times New Roman;serif"/>
          <w:b w:val="false"/>
          <w:color w:val="000000"/>
          <w:sz w:val="20"/>
          <w:u w:val="single"/>
        </w:rPr>
        <w:t>No Right to Damages</w:t>
      </w:r>
      <w:r>
        <w:rPr>
          <w:rFonts w:ascii="Times New Roman;serif" w:hAnsi="Times New Roman;serif"/>
          <w:b w:val="false"/>
          <w:color w:val="000000"/>
          <w:sz w:val="20"/>
        </w:rPr>
        <w:t>. Nothing in the Grant Notice, this Agreement or the Plan gives the Participant a right to receive damages for any portion of the Option that Participant might lose due to Company, Subsidiary or Committee decisions. The loss of potential profit from the Option will not constitute an element of damages in the event of Participant’s Termination of Services for any reason, even if such Termination of Services violates an obligation of the Company or a Subsidiary.</w:t>
      </w:r>
    </w:p>
    <w:p>
      <w:pPr>
        <w:pStyle w:val="TextBody"/>
        <w:bidi w:val="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7665"/>
                <wp:effectExtent l="0" t="0" r="0" b="0"/>
                <wp:wrapNone/>
                <wp:docPr id="132" name="Frame13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360"/>
        <w:jc w:val="left"/>
        <w:rPr/>
      </w:pPr>
      <w:r>
        <w:rPr>
          <w:rFonts w:ascii="Times New Roman;serif" w:hAnsi="Times New Roman;serif"/>
          <w:b w:val="false"/>
          <w:color w:val="000000"/>
          <w:sz w:val="20"/>
        </w:rPr>
        <w:t>5.19</w:t>
      </w:r>
      <w:r>
        <w:rPr>
          <w:color w:val="000000"/>
        </w:rPr>
        <w:t xml:space="preserve">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xml:space="preserve">. The Plan, the Grant Notice and this Agreement (including all Exhibits thereto) constitute the entire agreement of the parties and supersede in their entirety all prior undertakings and agreements of the Company and Participant with respect to the subject matter hereof.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5.20</w:t>
      </w:r>
      <w:r>
        <w:rPr>
          <w:color w:val="000000"/>
        </w:rPr>
        <w:t xml:space="preserve">     </w:t>
      </w:r>
      <w:r>
        <w:rPr>
          <w:rFonts w:ascii="Times New Roman;serif" w:hAnsi="Times New Roman;serif"/>
          <w:b w:val="false"/>
          <w:color w:val="000000"/>
          <w:sz w:val="20"/>
          <w:u w:val="single"/>
        </w:rPr>
        <w:t>Waiver</w:t>
      </w:r>
      <w:r>
        <w:rPr>
          <w:rFonts w:ascii="Times New Roman;serif" w:hAnsi="Times New Roman;serif"/>
          <w:b w:val="false"/>
          <w:color w:val="000000"/>
          <w:sz w:val="20"/>
        </w:rPr>
        <w:t>. The Participant acknowledges that a waiver by the Company of any provision, or breach thereof, of this Agreement on any occasion shall not operate or be construed as a waiver of such provision on any other occasion or as a waiver of any other provision of this Agreement, or of any subsequent breach by the Participant or any other participant.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5.21</w:t>
      </w:r>
      <w:r>
        <w:rPr>
          <w:color w:val="000000"/>
        </w:rPr>
        <w:t xml:space="preserve">     </w:t>
      </w:r>
      <w:r>
        <w:rPr>
          <w:rFonts w:ascii="Times New Roman;serif" w:hAnsi="Times New Roman;serif"/>
          <w:b w:val="false"/>
          <w:color w:val="000000"/>
          <w:sz w:val="20"/>
          <w:u w:val="single"/>
        </w:rPr>
        <w:t>Section 409A</w:t>
      </w:r>
      <w:r>
        <w:rPr>
          <w:rFonts w:ascii="Times New Roman;serif" w:hAnsi="Times New Roman;serif"/>
          <w:b w:val="false"/>
          <w:color w:val="000000"/>
          <w:sz w:val="20"/>
        </w:rPr>
        <w:t>. Notwithstanding any other provision of the Plan, this Agreement or the Grant Notice, the Plan, this Agreement and the Grant Notice shall be interpreted in accordance with, and incorporate the terms and conditions required by, Section 409A of the U.S. Internal Revenue Code of 1986, as amended (together with any U.S. Department of Treasury regulations and other interpretive guidance issued thereunder, including without limitation any such regulations or other guidance that may be issued after the date hereof, “</w:t>
      </w:r>
      <w:r>
        <w:rPr>
          <w:rFonts w:ascii="Times New Roman;serif" w:hAnsi="Times New Roman;serif"/>
          <w:b/>
          <w:i/>
          <w:color w:val="000000"/>
          <w:sz w:val="20"/>
        </w:rPr>
        <w:t>Section 409A</w:t>
      </w:r>
      <w:r>
        <w:rPr>
          <w:color w:val="000000"/>
        </w:rPr>
        <w:t>”</w:t>
      </w:r>
      <w:r>
        <w:rPr>
          <w:rFonts w:ascii="Times New Roman;serif" w:hAnsi="Times New Roman;serif"/>
          <w:b w:val="false"/>
          <w:color w:val="000000"/>
          <w:sz w:val="20"/>
        </w:rPr>
        <w:t xml:space="preserve">). The Committee reserves the right (without the obligation to do so or to indemnify the Participant for the failure to do so) to adopt such amendments to the Plan, this Agreement or the Grant Notice or adopt other policies and procedures (including amendments, policies and procedures with retroactive effect), or take any other actions, as the Committee determines are necessary or appropriate to exempt the Option from Section 409A or to comply with the requirements of Section 409A and thereby avoid the penalty taxes under Section 409A. </w:t>
      </w:r>
    </w:p>
    <w:p>
      <w:pPr>
        <w:pStyle w:val="TextBody"/>
        <w:bidi w:val="0"/>
        <w:spacing w:before="0" w:after="2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67665"/>
                <wp:effectExtent l="0" t="0" r="0" b="0"/>
                <wp:wrapNone/>
                <wp:docPr id="133" name="Frame13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APPENDIX</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COUNTRY-SPECIFIC PROVISIONS TO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 OPTION AGREEMENT</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Appendix includes additional terms and conditions that govern the Option granted to the Participant under the Plan if the Participant resides or works in one of the countries listed below. If the Participant is a citizen or resident (or is considered as such for local law purposes) of a country other than the country in which the Participant is currently residing and/or working, or if the Participant relocates to another country after the grant of the Option, the Company shall, in its discretion, determine to what extent the country-specific terms contained herein shall be applicable to the Participant. Certain capitalized terms used but not defined in this Appendix have the meanings set forth in the Plan and/or the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This Appendix also includes information regarding exchange controls and certain other issues of which the Participant should be aware with respect to the Participant’s participation in the Plan. The information is based on the securities, exchange control and other laws as of October 2019; however, such laws are often complex and change frequently. As a result, the Company strongly recommends that the Participant does not rely on the information in this Appendix as the only source of information relating to the consequences of the Participant’s participation in the Plan because the information may be out of date at the time that Participant exercises the Option or sell shares of Stock acquired under the Plan.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information contained herein is general in nature and may not apply to the Participant’s particular situation and the Company is not in a position to assure the Participant of any particular result. Accordingly, the Participant is advised to seek appropriate professional advice as to how the relevant laws in the Participant’s country may apply to the Participant’s situation.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Finally, the Participant understands that if he or she is a citizen or resident of a country other than the one in which Participant is currently working, transfers employment after the grant date, or is considered a resident of another country for local law purposes, the information contained herein may not apply to the Participant, and the Company shall, in its discretion, determine to what extent the terms and conditions contained herein shall apply.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ALL COUNTRIES OUTSIDE OF THE UNITED STATES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180" w:after="283"/>
        <w:ind w:left="0" w:right="0" w:hanging="360"/>
        <w:jc w:val="left"/>
        <w:rPr/>
      </w:pPr>
      <w:r>
        <w:rPr>
          <w:rFonts w:ascii="Times New Roman;serif" w:hAnsi="Times New Roman;serif"/>
          <w:b w:val="false"/>
          <w:color w:val="000000"/>
          <w:sz w:val="20"/>
        </w:rPr>
        <w:t>1.</w:t>
      </w:r>
      <w:r>
        <w:rPr>
          <w:color w:val="000000"/>
        </w:rPr>
        <w:t>    </w:t>
      </w:r>
      <w:r>
        <w:rPr>
          <w:rFonts w:ascii="Times New Roman;serif" w:hAnsi="Times New Roman;serif"/>
          <w:b w:val="false"/>
          <w:color w:val="000000"/>
          <w:sz w:val="20"/>
          <w:u w:val="single"/>
        </w:rPr>
        <w:t>Nature of Grant</w:t>
      </w:r>
      <w:r>
        <w:rPr>
          <w:rFonts w:ascii="Times New Roman;serif" w:hAnsi="Times New Roman;serif"/>
          <w:b w:val="false"/>
          <w:color w:val="000000"/>
          <w:sz w:val="20"/>
        </w:rPr>
        <w:t>. In accepting the Option, the Participant acknowledges and agrees that:</w:t>
      </w:r>
    </w:p>
    <w:p>
      <w:pPr>
        <w:pStyle w:val="TextBody"/>
        <w:bidi w:val="0"/>
        <w:spacing w:before="0" w:after="0"/>
        <w:ind w:left="0" w:right="0" w:hanging="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Plan is established voluntarily by the Company, it is discretionary in nature and it may be modified, amended, suspended or terminated by the Company at any time, to the extent permitted by the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the grant of the Options is voluntary and occasional and does not create any contractual or other right to receive future grants of stock options, or benefits in lieu of stock options, even if stock options have been granted in the past;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all decision with respect to future stock options or other grants, if any, will be at the sole discretion of the Company; </w:t>
      </w:r>
    </w:p>
    <w:p>
      <w:pPr>
        <w:pStyle w:val="TextBody"/>
        <w:bidi w:val="0"/>
        <w:spacing w:before="0" w:after="0"/>
        <w:ind w:left="0" w:right="0" w:firstLine="360"/>
        <w:jc w:val="left"/>
        <w:rPr/>
      </w:pPr>
      <w:r>
        <w:rPr/>
      </w:r>
    </w:p>
    <w:p>
      <w:pPr>
        <w:pStyle w:val="TextBody"/>
        <w:bidi w:val="0"/>
        <w:spacing w:lineRule="auto" w:line="288"/>
        <w:ind w:left="0" w:right="0" w:firstLine="360"/>
        <w:jc w:val="left"/>
        <w:rPr/>
      </w:pPr>
      <w:r>
        <w:rPr>
          <w:rFonts w:ascii="Times New Roman;serif" w:hAnsi="Times New Roman;serif"/>
          <w:b w:val="false"/>
          <w:color w:val="000000"/>
          <w:sz w:val="20"/>
        </w:rPr>
        <w:t>(d)</w:t>
      </w:r>
      <w:r>
        <w:rPr>
          <w:color w:val="000000"/>
        </w:rPr>
        <w:t>    </w:t>
      </w:r>
      <w:r>
        <w:rPr>
          <w:rFonts w:ascii="Times New Roman;serif" w:hAnsi="Times New Roman;serif"/>
          <w:b w:val="false"/>
          <w:color w:val="000000"/>
          <w:sz w:val="20"/>
        </w:rPr>
        <w:t xml:space="preserve">the Participant’s participation in the Plan shall not create a right to further employment or service relationship with the Company or the Employer and shall not interfere with the ability of the Company or the Employer to terminate the Participant’s employment or service relationship at any time; </w:t>
      </w:r>
    </w:p>
    <w:p>
      <w:pPr>
        <w:pStyle w:val="TextBody"/>
        <w:bidi w:val="0"/>
        <w:spacing w:before="0" w:after="200"/>
        <w:jc w:val="righ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7665"/>
                <wp:effectExtent l="0" t="0" r="0" b="0"/>
                <wp:wrapNone/>
                <wp:docPr id="134" name="Frame13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(e)</w:t>
      </w:r>
      <w:r>
        <w:rPr>
          <w:color w:val="000000"/>
        </w:rPr>
        <w:t>    </w:t>
      </w:r>
      <w:r>
        <w:rPr>
          <w:rFonts w:ascii="Times New Roman;serif" w:hAnsi="Times New Roman;serif"/>
          <w:b w:val="false"/>
          <w:color w:val="000000"/>
          <w:sz w:val="20"/>
        </w:rPr>
        <w:t>the Participant is voluntarily participating in the Plan;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(f)</w:t>
      </w:r>
      <w:r>
        <w:rPr>
          <w:color w:val="000000"/>
        </w:rPr>
        <w:t>    </w:t>
      </w:r>
      <w:r>
        <w:rPr>
          <w:rFonts w:ascii="Times New Roman;serif" w:hAnsi="Times New Roman;serif"/>
          <w:b w:val="false"/>
          <w:color w:val="000000"/>
          <w:sz w:val="20"/>
        </w:rPr>
        <w:t>the Options and the shares of Stock subject to the Options, and any value of the shares of Stock, and any income or earnings from holding the shares of Stock, are extraordinary items that do not constitute compensation of any kind for services of any kind rendered to the Company or the Employer, and which is outside the scope of the Participant’s employment or service contract, if 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(g)</w:t>
      </w:r>
      <w:r>
        <w:rPr>
          <w:color w:val="000000"/>
        </w:rPr>
        <w:t>    </w:t>
      </w:r>
      <w:r>
        <w:rPr>
          <w:rFonts w:ascii="Times New Roman;serif" w:hAnsi="Times New Roman;serif"/>
          <w:b w:val="false"/>
          <w:color w:val="000000"/>
          <w:sz w:val="20"/>
        </w:rPr>
        <w:t xml:space="preserve">the Options and the shares of Stock subject to the Options, and the income and value of the same are not intended to replace any pension rights or compensation;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(h)</w:t>
      </w:r>
      <w:r>
        <w:rPr>
          <w:color w:val="000000"/>
        </w:rPr>
        <w:t>    </w:t>
      </w:r>
      <w:r>
        <w:rPr>
          <w:rFonts w:ascii="Times New Roman;serif" w:hAnsi="Times New Roman;serif"/>
          <w:b w:val="false"/>
          <w:color w:val="000000"/>
          <w:sz w:val="20"/>
        </w:rPr>
        <w:t xml:space="preserve">the Options and the shares of Stock subject to the Options, and the income and value of the same, are not part of normal or expected compensation or salary for any purposes, including, but not limited to, calculating any severance, resignation, termination, redundancy, dismissal, end-of-service payments, holiday pay, bonuses, long-service awards, leave-related payments, pension or retirement or welfare benefits or similar mandatory payments and in no event should be considered compensation for, or relating to, past services for the Company, the Employer of any Subsidiary;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(i)</w:t>
      </w:r>
      <w:r>
        <w:rPr>
          <w:color w:val="000000"/>
        </w:rPr>
        <w:t>    </w:t>
      </w:r>
      <w:r>
        <w:rPr>
          <w:rFonts w:ascii="Times New Roman;serif" w:hAnsi="Times New Roman;serif"/>
          <w:b w:val="false"/>
          <w:color w:val="000000"/>
          <w:sz w:val="20"/>
        </w:rPr>
        <w:t xml:space="preserve">the Option grant and the Participant’s participation in the Plan will not be interpreted to form an employment or service contract or relationship with the Company or a Subsidiary;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(j)</w:t>
      </w:r>
      <w:r>
        <w:rPr>
          <w:color w:val="000000"/>
        </w:rPr>
        <w:t>    </w:t>
      </w:r>
      <w:r>
        <w:rPr>
          <w:rFonts w:ascii="Times New Roman;serif" w:hAnsi="Times New Roman;serif"/>
          <w:b w:val="false"/>
          <w:color w:val="000000"/>
          <w:sz w:val="20"/>
        </w:rPr>
        <w:t xml:space="preserve">unless otherwise agreed with the Company, the Options and the shares of Stock subject to the Option, and the income and value of the same, are not granted as consideration for, or in connection with, any service the Participant may provide as a director of a Subsidiary;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(k)</w:t>
      </w:r>
      <w:r>
        <w:rPr>
          <w:color w:val="000000"/>
        </w:rPr>
        <w:t>    </w:t>
      </w:r>
      <w:r>
        <w:rPr>
          <w:rFonts w:ascii="Times New Roman;serif" w:hAnsi="Times New Roman;serif"/>
          <w:b w:val="false"/>
          <w:color w:val="000000"/>
          <w:sz w:val="20"/>
        </w:rPr>
        <w:t>the future value of the underlying shares of Stock is unknown, indeterminable and cannot be predicted with certainty;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(l)</w:t>
      </w:r>
      <w:r>
        <w:rPr>
          <w:color w:val="000000"/>
        </w:rPr>
        <w:t>    </w:t>
      </w:r>
      <w:r>
        <w:rPr>
          <w:rFonts w:ascii="Times New Roman;serif" w:hAnsi="Times New Roman;serif"/>
          <w:b w:val="false"/>
          <w:color w:val="000000"/>
          <w:sz w:val="20"/>
        </w:rPr>
        <w:t>if the underlying shares of Stock do not increase in value, the Option will have no value;</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(m)</w:t>
      </w:r>
      <w:r>
        <w:rPr>
          <w:color w:val="000000"/>
        </w:rPr>
        <w:t>    </w:t>
      </w:r>
      <w:r>
        <w:rPr>
          <w:rFonts w:ascii="Times New Roman;serif" w:hAnsi="Times New Roman;serif"/>
          <w:b w:val="false"/>
          <w:color w:val="000000"/>
          <w:sz w:val="20"/>
        </w:rPr>
        <w:t>no claim or entitlement to compensation or damages shall arise from forfeiture of the Option resulting from the Participant’s Termination of Services (for any reason whatsoever, and whether or not later found to be invalid or in breach of employment or other laws in the jurisdiction where the Participant renders services or the terms of the Participant’s employment or service agreement, if any);</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(n)</w:t>
      </w:r>
      <w:r>
        <w:rPr>
          <w:color w:val="000000"/>
        </w:rPr>
        <w:t>    </w:t>
      </w:r>
      <w:r>
        <w:rPr>
          <w:rFonts w:ascii="Times New Roman;serif" w:hAnsi="Times New Roman;serif"/>
          <w:b w:val="false"/>
          <w:color w:val="000000"/>
          <w:sz w:val="20"/>
        </w:rPr>
        <w:t>unless otherwise provided in the Plan or by the Company in its sole discretion, the Options and the benefits evidenced by this Agreement do not create any entitlement to have the Options or any such benefit transferred to, or assumed by, another company nor to be exchanged, cashed out or substituted for, in connection with any corporate transaction affecting the shares of Stock of the Company; and</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(o)</w:t>
      </w:r>
      <w:r>
        <w:rPr>
          <w:color w:val="000000"/>
        </w:rPr>
        <w:t>    </w:t>
      </w:r>
      <w:r>
        <w:rPr>
          <w:rFonts w:ascii="Times New Roman;serif" w:hAnsi="Times New Roman;serif"/>
          <w:b w:val="false"/>
          <w:color w:val="000000"/>
          <w:sz w:val="20"/>
        </w:rPr>
        <w:t>neither the Company, the Employer, nor any other Subsidiary shall be liable for any foreign exchange rate fluctuation between the Participant’s local currency and the U.S. Dollar that may affect the value of the Option or of any amounts due to the Participant upon exercise of the Options or the subsequent sale of any shares of Stock acquired upon settlement.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color w:val="000000"/>
        </w:rPr>
        <w:t>    </w:t>
      </w:r>
      <w:r>
        <w:rPr>
          <w:rFonts w:ascii="Times New Roman;serif" w:hAnsi="Times New Roman;serif"/>
          <w:b w:val="false"/>
          <w:color w:val="000000"/>
          <w:sz w:val="20"/>
          <w:u w:val="single"/>
        </w:rPr>
        <w:t>Language</w:t>
      </w:r>
      <w:r>
        <w:rPr>
          <w:rFonts w:ascii="Times New Roman;serif" w:hAnsi="Times New Roman;serif"/>
          <w:b w:val="false"/>
          <w:color w:val="000000"/>
          <w:sz w:val="20"/>
        </w:rPr>
        <w:t>. The Participant acknowledges that the Participant is sufficiently proficient in English or has consulted with an advisor who is sufficiently proficient in English so as to allow the Participant to understand the terms and conditions of this Agreement. Further, if the Participant has received this Agreement or any other document(s) related to the Plan translated into a language other than English and if the meaning of the translated version is different than the English version, the English version will control.</w:t>
      </w:r>
    </w:p>
    <w:p>
      <w:pPr>
        <w:pStyle w:val="TextBody"/>
        <w:bidi w:val="0"/>
        <w:spacing w:before="0" w:after="200"/>
        <w:jc w:val="left"/>
        <w:rPr/>
      </w:pPr>
      <w:r>
        <w:rPr/>
      </w:r>
    </w:p>
    <w:p>
      <w:pPr>
        <w:pStyle w:val="TextBody"/>
        <w:bidi w:val="0"/>
        <w:spacing w:before="0" w:after="200"/>
        <w:jc w:val="righ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67665"/>
                <wp:effectExtent l="0" t="0" r="0" b="0"/>
                <wp:wrapNone/>
                <wp:docPr id="135" name="Frame13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left"/>
        <w:rPr/>
      </w:pPr>
      <w:r>
        <w:rPr>
          <w:rFonts w:ascii="Times New Roman;serif" w:hAnsi="Times New Roman;serif"/>
          <w:b/>
          <w:i/>
          <w:color w:val="000000"/>
          <w:sz w:val="20"/>
          <w:u w:val="single"/>
        </w:rPr>
        <w:t>Data Privacy Information and Consent</w:t>
      </w:r>
      <w:r>
        <w:rPr>
          <w:rFonts w:ascii="Times New Roman;serif" w:hAnsi="Times New Roman;serif"/>
          <w:b/>
          <w:i/>
          <w:color w:val="000000"/>
          <w:sz w:val="20"/>
        </w:rPr>
        <w:t>.</w:t>
      </w:r>
    </w:p>
    <w:p>
      <w:pPr>
        <w:pStyle w:val="TextBody"/>
        <w:bidi w:val="0"/>
        <w:spacing w:lineRule="auto" w:line="288" w:before="240" w:after="283"/>
        <w:ind w:left="0" w:right="0" w:firstLine="360"/>
        <w:jc w:val="left"/>
        <w:rPr/>
      </w:pPr>
      <w:r>
        <w:rPr>
          <w:rFonts w:ascii="Times New Roman;serif" w:hAnsi="Times New Roman;serif"/>
          <w:b/>
          <w:i/>
          <w:color w:val="000000"/>
          <w:sz w:val="20"/>
        </w:rPr>
        <w:t>(a)</w:t>
      </w:r>
      <w:r>
        <w:rPr>
          <w:color w:val="000000"/>
        </w:rPr>
        <w:t>    </w:t>
      </w:r>
      <w:r>
        <w:rPr>
          <w:rFonts w:ascii="Times New Roman;serif" w:hAnsi="Times New Roman;serif"/>
          <w:b/>
          <w:i/>
          <w:color w:val="000000"/>
          <w:sz w:val="20"/>
          <w:u w:val="single"/>
        </w:rPr>
        <w:t>Declaration of Consent</w:t>
      </w:r>
      <w:r>
        <w:rPr>
          <w:rFonts w:ascii="Times New Roman;serif" w:hAnsi="Times New Roman;serif"/>
          <w:b/>
          <w:i/>
          <w:color w:val="000000"/>
          <w:sz w:val="20"/>
        </w:rPr>
        <w:t>. The Participant is declaring that he or she agrees with the data processing practices described herein and consents to the collection, processing and use of Data (as defined below) by the Company and the transfer of Data to the recipients mentioned below, including recipients located in countries which may not have a similar level of protection from the perspective of the Participant's country’s data protection laws.</w:t>
      </w:r>
    </w:p>
    <w:p>
      <w:pPr>
        <w:pStyle w:val="TextBody"/>
        <w:bidi w:val="0"/>
        <w:spacing w:lineRule="auto" w:line="288" w:before="240" w:after="283"/>
        <w:ind w:left="0" w:right="0" w:firstLine="360"/>
        <w:jc w:val="left"/>
        <w:rPr/>
      </w:pPr>
      <w:r>
        <w:rPr>
          <w:rFonts w:ascii="Times New Roman;serif" w:hAnsi="Times New Roman;serif"/>
          <w:b/>
          <w:i/>
          <w:color w:val="000000"/>
          <w:sz w:val="20"/>
        </w:rPr>
        <w:t>(b)</w:t>
      </w:r>
      <w:r>
        <w:rPr>
          <w:color w:val="000000"/>
        </w:rPr>
        <w:t>    </w:t>
      </w:r>
      <w:r>
        <w:rPr>
          <w:rFonts w:ascii="Times New Roman;serif" w:hAnsi="Times New Roman;serif"/>
          <w:b/>
          <w:i/>
          <w:color w:val="000000"/>
          <w:sz w:val="20"/>
          <w:u w:val="single"/>
        </w:rPr>
        <w:t>Data Collection and Usage</w:t>
      </w:r>
      <w:r>
        <w:rPr>
          <w:rFonts w:ascii="Times New Roman;serif" w:hAnsi="Times New Roman;serif"/>
          <w:b/>
          <w:i/>
          <w:color w:val="000000"/>
          <w:sz w:val="20"/>
        </w:rPr>
        <w:t>. The Company and the Employer collect, process and use certain personal information about the Participant, including but not limited to his or her name, home address, telephone number, email address, date of birth, social insurance number, passport or other identification number, salary, nationality, any shares of Stock, details of all stock options granted under the Plan or any other entitlement to shares awarded, canceled, exercised, vested, unvested or outstanding in the Participant’s favor (“Data”), for purposes of implementing, administering and managing the Plan. The legal basis, where required, for the collection and processing of Data is the Participant’s consent.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(c)</w:t>
      </w:r>
      <w:r>
        <w:rPr>
          <w:color w:val="000000"/>
        </w:rPr>
        <w:t>    </w:t>
      </w:r>
      <w:r>
        <w:rPr>
          <w:rFonts w:ascii="Times New Roman;serif" w:hAnsi="Times New Roman;serif"/>
          <w:b/>
          <w:i/>
          <w:color w:val="000000"/>
          <w:sz w:val="20"/>
          <w:u w:val="single"/>
        </w:rPr>
        <w:t>Stock Plan Administration Service Providers</w:t>
      </w:r>
      <w:r>
        <w:rPr>
          <w:rFonts w:ascii="Times New Roman;serif" w:hAnsi="Times New Roman;serif"/>
          <w:b/>
          <w:i/>
          <w:color w:val="000000"/>
          <w:sz w:val="20"/>
        </w:rPr>
        <w:t>. The Company may transfer Data, or parts thereof, to a third-party stock plan administrator/broker (“Service Provider”) which may assist the Company, presently or in the future, with the implementation, administration and management of the Plan. The Participant acknowledges and understands that the Service Provider will open an account for the Participant to receive and trade shares of Stock acquired under the Plan and the Participant may be asked to agree on separate terms and data processing practices with the Service Provider, with such agreement being a condition to the Participant's ability to participate in the Plan. Where required, the legal basis for the transfer of Data to the Service Provider is the Participant’s consent.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(d)</w:t>
      </w:r>
      <w:r>
        <w:rPr>
          <w:color w:val="000000"/>
        </w:rPr>
        <w:t>    </w:t>
      </w:r>
      <w:r>
        <w:rPr>
          <w:rFonts w:ascii="Times New Roman;serif" w:hAnsi="Times New Roman;serif"/>
          <w:b/>
          <w:i/>
          <w:color w:val="000000"/>
          <w:sz w:val="20"/>
          <w:u w:val="single"/>
        </w:rPr>
        <w:t>International Data Transfers</w:t>
      </w:r>
      <w:r>
        <w:rPr>
          <w:rFonts w:ascii="Times New Roman;serif" w:hAnsi="Times New Roman;serif"/>
          <w:b/>
          <w:i/>
          <w:color w:val="000000"/>
          <w:sz w:val="20"/>
        </w:rPr>
        <w:t>. The Company is, and the Service Provider may be, based in the United States. The Participant’s country or jurisdiction may have different data privacy laws and protections than the United States. For example, the European Commission has issued only a limited adequacy finding with respect to the United States that applies only if and to the extent companies self-certify and remain self-certified under the EU-U.S. Privacy Shield program, which is open to companies subject to the jurisdiction of the Federal Trade Commission. The Company has currently not registered for the EU-U.S. Privacy Shield program. The Company’s legal basis for the transfer of data, where required, is the Participant’s consent.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(e)</w:t>
      </w:r>
      <w:r>
        <w:rPr>
          <w:color w:val="000000"/>
        </w:rPr>
        <w:t>    </w:t>
      </w:r>
      <w:r>
        <w:rPr>
          <w:rFonts w:ascii="Times New Roman;serif" w:hAnsi="Times New Roman;serif"/>
          <w:b/>
          <w:i/>
          <w:color w:val="000000"/>
          <w:sz w:val="20"/>
          <w:u w:val="single"/>
        </w:rPr>
        <w:t>Data Retention</w:t>
      </w:r>
      <w:r>
        <w:rPr>
          <w:rFonts w:ascii="Times New Roman;serif" w:hAnsi="Times New Roman;serif"/>
          <w:b/>
          <w:i/>
          <w:color w:val="000000"/>
          <w:sz w:val="20"/>
        </w:rPr>
        <w:t>. The Company will hold and use Data only as long as is necessary to implement, administer and manage the Participant’s participation in the Plan, or as required to comply with legal or regulatory obligations including under tax, exchange control, labor and securities laws. This may mean Data is retained until after the Participant’s employment or service relationship ends. When the Company or the Employer no longer need Data for any of the above purposes, they will cease processing it in this context and remove it from all of their systems used for such purposes, to the fullest extent possible.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(f)</w:t>
      </w:r>
      <w:r>
        <w:rPr>
          <w:color w:val="000000"/>
        </w:rPr>
        <w:t>    </w:t>
      </w:r>
      <w:r>
        <w:rPr>
          <w:rFonts w:ascii="Times New Roman;serif" w:hAnsi="Times New Roman;serif"/>
          <w:b/>
          <w:i/>
          <w:color w:val="000000"/>
          <w:sz w:val="20"/>
          <w:u w:val="single"/>
        </w:rPr>
        <w:t>Voluntariness and Consequences of Consent Denial or Withdrawal</w:t>
      </w:r>
      <w:r>
        <w:rPr>
          <w:rFonts w:ascii="Times New Roman;serif" w:hAnsi="Times New Roman;serif"/>
          <w:b/>
          <w:i/>
          <w:color w:val="000000"/>
          <w:sz w:val="20"/>
        </w:rPr>
        <w:t>. Participation in the Plan is voluntary and the Participant is providing the consents herein on a purely voluntary basis. The Participant understands that he or she may request to stop the transfer and processing of the Data for purposes of his or her participation in the Plan and that the Participant’s compensation from or service relationship with the Employer will not be affected. The only consequence of refusing or withdrawing consent is that the Company would not be able to allow the Participant to participate in the Plan. The Participant understands that his or her Data will still be processed in relation to the Participant’s employment or service relationship for record-keeping purposes.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(g)</w:t>
      </w:r>
      <w:r>
        <w:rPr>
          <w:color w:val="000000"/>
        </w:rPr>
        <w:t>    </w:t>
      </w:r>
      <w:r>
        <w:rPr>
          <w:rFonts w:ascii="Times New Roman;serif" w:hAnsi="Times New Roman;serif"/>
          <w:b/>
          <w:i/>
          <w:color w:val="000000"/>
          <w:sz w:val="20"/>
          <w:u w:val="single"/>
        </w:rPr>
        <w:t>Data Subject Rights</w:t>
      </w:r>
      <w:r>
        <w:rPr>
          <w:rFonts w:ascii="Times New Roman;serif" w:hAnsi="Times New Roman;serif"/>
          <w:b/>
          <w:i/>
          <w:color w:val="000000"/>
          <w:sz w:val="20"/>
        </w:rPr>
        <w:t xml:space="preserve">. The Participant may have a number of rights under the data privacy laws in his or her jurisdiction. Depending on where the Participant is based, such rights may include the right to (i) request access to or copies of Data the Company processes, (ii) rectify incorrect Data, (iii) delete Data, (iv) restrict the processing of Data, (v) restrict the portability of Data, (iv) lodge complaints with the competent authorities in the Participant’s jurisdiction, and/or (vii) receive a list with the names and addresses of any potential recipients of </w:t>
      </w:r>
    </w:p>
    <w:p>
      <w:pPr>
        <w:pStyle w:val="TextBody"/>
        <w:bidi w:val="0"/>
        <w:spacing w:before="0" w:after="200"/>
        <w:jc w:val="righ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7665"/>
                <wp:effectExtent l="0" t="0" r="0" b="0"/>
                <wp:wrapNone/>
                <wp:docPr id="136" name="Frame13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Data. To receive clarification regarding these rights or to exercise these rights, the Participant can contact his or her human resources representative.</w:t>
      </w:r>
    </w:p>
    <w:p>
      <w:pPr>
        <w:pStyle w:val="TextBody"/>
        <w:bidi w:val="0"/>
        <w:spacing w:before="0" w:after="200"/>
        <w:jc w:val="left"/>
        <w:rPr/>
      </w:pPr>
      <w:r>
        <w:rPr/>
      </w:r>
    </w:p>
    <w:p>
      <w:pPr>
        <w:pStyle w:val="TextBody"/>
        <w:bidi w:val="0"/>
        <w:spacing w:lineRule="auto" w:line="319" w:before="0" w:after="200"/>
        <w:jc w:val="left"/>
        <w:rPr>
          <w:rFonts w:ascii="Times New Roman;serif" w:hAnsi="Times New Roman;serif"/>
          <w:b/>
          <w:i/>
          <w:color w:val="000000"/>
          <w:sz w:val="20"/>
        </w:rPr>
      </w:pPr>
      <w:r>
        <w:rPr>
          <w:rFonts w:ascii="Times New Roman;serif" w:hAnsi="Times New Roman;serif"/>
          <w:b/>
          <w:i/>
          <w:color w:val="000000"/>
          <w:sz w:val="20"/>
        </w:rPr>
        <w:t xml:space="preserve">By signing below, the Participant declares that he or she agrees with the data processing practices as described above. The Participant understands and acknowledges that the Participant may withdraw his or her consent at any time with future effect for any or no reason as described in sub-section (f) above.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Submitted by:        </w:t>
      </w:r>
    </w:p>
    <w:p>
      <w:pPr>
        <w:pStyle w:val="TextBody"/>
        <w:bidi w:val="0"/>
        <w:spacing w:lineRule="auto" w:line="288" w:before="240" w:after="283"/>
        <w:jc w:val="both"/>
        <w:rPr/>
      </w:pPr>
      <w:r>
        <w:rPr>
          <w:rFonts w:ascii="Times New Roman;serif" w:hAnsi="Times New Roman;serif"/>
          <w:b w:val="false"/>
          <w:color w:val="000000"/>
          <w:sz w:val="20"/>
        </w:rPr>
        <w:t>PARTICIPANT</w:t>
      </w:r>
      <w:r>
        <w:rPr>
          <w:color w:val="000000"/>
        </w:rPr>
        <w:t>        </w:t>
      </w:r>
    </w:p>
    <w:p>
      <w:pPr>
        <w:pStyle w:val="TextBody"/>
        <w:bidi w:val="0"/>
        <w:spacing w:before="240" w:after="283"/>
        <w:jc w:val="both"/>
        <w:rPr/>
      </w:pPr>
      <w:r>
        <w:rPr/>
      </w:r>
    </w:p>
    <w:p>
      <w:pPr>
        <w:pStyle w:val="TextBody"/>
        <w:bidi w:val="0"/>
        <w:spacing w:lineRule="auto" w:line="288" w:before="240" w:after="283"/>
        <w:jc w:val="both"/>
        <w:rPr/>
      </w:pPr>
      <w:r>
        <w:rPr>
          <w:color w:val="000000"/>
          <w:u w:val="single"/>
        </w:rPr>
        <w:t>        </w:t>
      </w:r>
      <w:r>
        <w:rPr>
          <w:rFonts w:ascii="Times New Roman;serif" w:hAnsi="Times New Roman;serif"/>
          <w:b w:val="false"/>
          <w:color w:val="000000"/>
          <w:sz w:val="20"/>
        </w:rPr>
        <w:br/>
        <w:t>Signature    </w:t>
      </w:r>
    </w:p>
    <w:p>
      <w:pPr>
        <w:pStyle w:val="TextBody"/>
        <w:bidi w:val="0"/>
        <w:spacing w:lineRule="auto" w:line="319" w:before="0" w:after="200"/>
        <w:jc w:val="left"/>
        <w:rPr/>
      </w:pPr>
      <w:r>
        <w:rPr>
          <w:color w:val="000000"/>
          <w:u w:val="single"/>
        </w:rPr>
        <w:t>        </w:t>
      </w:r>
      <w:r>
        <w:rPr>
          <w:rFonts w:ascii="Times New Roman;serif" w:hAnsi="Times New Roman;serif"/>
          <w:b w:val="false"/>
          <w:color w:val="000000"/>
          <w:sz w:val="20"/>
        </w:rPr>
        <w:t>_____________</w:t>
      </w:r>
      <w:r>
        <w:rPr>
          <w:color w:val="000000"/>
          <w:u w:val="single"/>
        </w:rPr>
        <w:t>        </w:t>
      </w:r>
      <w:r>
        <w:rPr>
          <w:rFonts w:ascii="Times New Roman;serif" w:hAnsi="Times New Roman;serif"/>
          <w:b w:val="false"/>
          <w:color w:val="000000"/>
          <w:sz w:val="20"/>
        </w:rPr>
        <w:br/>
        <w:t>Print Name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67665"/>
                <wp:effectExtent l="0" t="0" r="0" b="0"/>
                <wp:wrapNone/>
                <wp:docPr id="137" name="Frame13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CANADA</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left"/>
        <w:rPr/>
      </w:pPr>
      <w:r>
        <w:rPr>
          <w:rFonts w:ascii="Times New Roman;serif" w:hAnsi="Times New Roman;serif"/>
          <w:b w:val="false"/>
          <w:color w:val="000000"/>
          <w:sz w:val="20"/>
          <w:u w:val="single"/>
        </w:rPr>
        <w:t>Manner of Exercise</w:t>
      </w:r>
      <w:r>
        <w:rPr>
          <w:rFonts w:ascii="Times New Roman;serif" w:hAnsi="Times New Roman;serif"/>
          <w:b/>
          <w:color w:val="000000"/>
          <w:sz w:val="20"/>
        </w:rPr>
        <w:t xml:space="preserve">. </w:t>
      </w:r>
      <w:r>
        <w:rPr>
          <w:rFonts w:ascii="Times New Roman;serif" w:hAnsi="Times New Roman;serif"/>
          <w:b w:val="false"/>
          <w:color w:val="000000"/>
          <w:sz w:val="20"/>
        </w:rPr>
        <w:t>The following provision supplements Section 4.3 the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anything in the Plan, the Participant agrees to pay the exercise price and any Tax-Related Items solely by means of (i) cash, (ii) check or other instrument acceptable to the Company or (ii) a broker-assisted cashless exercise, whereby the broker sells some or all of the shares of Common Stock to be issued upon exercise to pay the exercise price, brokerage fees and any applicable Tax-Related Items. To the extent that tax regulatory requirements change, the Company reserves the right to permit the Participant to exercise the Option and pay the exercise price and any applicable Tax-Related Items in shares of Stock to the extent permitted by the Plan.</w:t>
      </w:r>
    </w:p>
    <w:p>
      <w:pPr>
        <w:pStyle w:val="TextBody"/>
        <w:bidi w:val="0"/>
        <w:spacing w:lineRule="auto" w:line="288" w:before="0" w:after="240"/>
        <w:jc w:val="left"/>
        <w:rPr/>
      </w:pPr>
      <w:r>
        <w:rPr>
          <w:rFonts w:ascii="Times New Roman;serif" w:hAnsi="Times New Roman;serif"/>
          <w:b w:val="false"/>
          <w:color w:val="000000"/>
          <w:sz w:val="20"/>
          <w:u w:val="single"/>
        </w:rPr>
        <w:t>Termination of Services</w:t>
      </w:r>
      <w:r>
        <w:rPr>
          <w:rFonts w:ascii="Times New Roman;serif" w:hAnsi="Times New Roman;serif"/>
          <w:b w:val="false"/>
          <w:color w:val="000000"/>
          <w:sz w:val="20"/>
        </w:rPr>
        <w:t>. Notwithstanding any provision in the Agreement to the contrary, for purposes of the Option, and except as expressly required by applicable legislation, the Participant’s Termination of Services (regardless of the reason for such termination and whether or not later found to be invalid or in breach of employment laws in the jurisdiction where the Participant is employed or providing services, or the terms of the Participant’s employment or service agreement, if any) will be deemed to occur as of the date that is the earlier of: (1) the date that the Participant is no longer actively employed by the Company or any Subsidiary, or at the discretion of the Committee, or (2) the date the Participant receives notice of Termination of Services, regardless of any notice period or period of pay in lieu of such notice required under local law (including, but not limited to statutory law, regulatory law and/or common law); the Company shall have the exclusive discretion to determine when Participant is no longer employed for purposes of the Option grant (including when Participant is no longer considered as providing active service while on a leave of absence).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provisions will apply if the Participant is a resident of Quebec:</w:t>
      </w:r>
    </w:p>
    <w:p>
      <w:pPr>
        <w:pStyle w:val="TextBody"/>
        <w:bidi w:val="0"/>
        <w:spacing w:lineRule="auto" w:line="288" w:before="0" w:after="240"/>
        <w:jc w:val="left"/>
        <w:rPr/>
      </w:pPr>
      <w:r>
        <w:rPr>
          <w:rFonts w:ascii="Times New Roman;serif" w:hAnsi="Times New Roman;serif"/>
          <w:b w:val="false"/>
          <w:color w:val="000000"/>
          <w:sz w:val="20"/>
          <w:u w:val="single"/>
        </w:rPr>
        <w:t>French Language Provision</w:t>
      </w:r>
      <w:r>
        <w:rPr>
          <w:rFonts w:ascii="Times New Roman;serif" w:hAnsi="Times New Roman;serif"/>
          <w:b/>
          <w:color w:val="000000"/>
          <w:sz w:val="2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parties acknowledge that it is their express wish that the Agreement, as well as all documents, notices and legal proceedings entered into, given or instituted pursuant hereto or relating directly or indirectly hereto, be drawn up in English.</w:t>
      </w:r>
    </w:p>
    <w:p>
      <w:pPr>
        <w:pStyle w:val="TextBody"/>
        <w:bidi w:val="0"/>
        <w:spacing w:lineRule="auto" w:line="288" w:before="0" w:after="240"/>
        <w:jc w:val="left"/>
        <w:rPr/>
      </w:pPr>
      <w:r>
        <w:rPr>
          <w:rFonts w:ascii="Times New Roman;serif" w:hAnsi="Times New Roman;serif"/>
          <w:b w:val="false"/>
          <w:i/>
          <w:color w:val="000000"/>
          <w:sz w:val="20"/>
        </w:rPr>
        <w:t>Les parties reconnaissent avoir exigé la</w:t>
      </w:r>
      <w:r>
        <w:rPr>
          <w:color w:val="000000"/>
        </w:rPr>
        <w:t xml:space="preserve"> </w:t>
      </w:r>
      <w:r>
        <w:rPr>
          <w:rFonts w:ascii="Times New Roman;serif" w:hAnsi="Times New Roman;serif"/>
          <w:b w:val="false"/>
          <w:i/>
          <w:color w:val="000000"/>
          <w:sz w:val="20"/>
        </w:rPr>
        <w:t>rédaction en anglais de la convention,</w:t>
      </w:r>
      <w:r>
        <w:rPr>
          <w:color w:val="000000"/>
        </w:rPr>
        <w:t xml:space="preserve"> </w:t>
      </w:r>
      <w:r>
        <w:rPr>
          <w:rFonts w:ascii="Times New Roman;serif" w:hAnsi="Times New Roman;serif"/>
          <w:b w:val="false"/>
          <w:i/>
          <w:color w:val="000000"/>
          <w:sz w:val="20"/>
        </w:rPr>
        <w:t>ainsi que de tous documents exécutés, avis donnés et procedures judiciaries intentées, directement ou indirectement, relativement à la présente convention.</w:t>
      </w:r>
    </w:p>
    <w:p>
      <w:pPr>
        <w:pStyle w:val="TextBody"/>
        <w:bidi w:val="0"/>
        <w:spacing w:lineRule="auto" w:line="288" w:before="0" w:after="240"/>
        <w:jc w:val="left"/>
        <w:rPr/>
      </w:pPr>
      <w:r>
        <w:rPr>
          <w:rFonts w:ascii="Times New Roman;serif" w:hAnsi="Times New Roman;serif"/>
          <w:b w:val="false"/>
          <w:color w:val="000000"/>
          <w:sz w:val="20"/>
          <w:u w:val="single"/>
        </w:rPr>
        <w:t>Data Privacy</w:t>
      </w:r>
      <w:r>
        <w:rPr>
          <w:rFonts w:ascii="Times New Roman;serif" w:hAnsi="Times New Roman;serif"/>
          <w:b/>
          <w:color w:val="000000"/>
          <w:sz w:val="20"/>
        </w:rPr>
        <w:t xml:space="preserve">. </w:t>
      </w:r>
      <w:r>
        <w:rPr>
          <w:rFonts w:ascii="Times New Roman;serif" w:hAnsi="Times New Roman;serif"/>
          <w:b w:val="false"/>
          <w:color w:val="000000"/>
          <w:sz w:val="20"/>
        </w:rPr>
        <w:t>This provision supplements the Data Privacy for All Countries Outside of the United States in this Appendix: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any Subsidiaries and the Committee to disclose and discuss the Plan with their advisors. The Participant further authorizes the Company or its Subsidiaries to record such information and to keep such information in the Participant’s employee file.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left"/>
        <w:rPr/>
      </w:pPr>
      <w:r>
        <w:rPr>
          <w:rFonts w:ascii="Times New Roman;serif" w:hAnsi="Times New Roman;serif"/>
          <w:b w:val="false"/>
          <w:color w:val="000000"/>
          <w:sz w:val="20"/>
          <w:u w:val="single"/>
        </w:rPr>
        <w:t>Securities Law Notice</w:t>
      </w:r>
      <w:r>
        <w:rPr>
          <w:rFonts w:ascii="Times New Roman;serif" w:hAnsi="Times New Roman;serif"/>
          <w:b w:val="false"/>
          <w:color w:val="000000"/>
          <w:sz w:val="20"/>
        </w:rPr>
        <w:t>. The</w:t>
      </w:r>
      <w:r>
        <w:rPr>
          <w:color w:val="000000"/>
        </w:rPr>
        <w:t xml:space="preserve"> </w:t>
      </w:r>
      <w:r>
        <w:rPr>
          <w:rFonts w:ascii="Times New Roman;serif" w:hAnsi="Times New Roman;serif"/>
          <w:b w:val="false"/>
          <w:color w:val="000000"/>
          <w:sz w:val="20"/>
        </w:rPr>
        <w:t>Participant is permitted to sell shares of Stock acquired through the Plan through the designated broker appointed under the Plan, if any, provided the resale of shares of Stock acquired under the Plan takes place outside of Canada through the facilities of a stock exchange on which the shares of Stock are listed. The Company’s shares of Stock are currently listed on the New York Stock Exchange.</w:t>
      </w:r>
    </w:p>
    <w:p>
      <w:pPr>
        <w:pStyle w:val="TextBody"/>
        <w:bidi w:val="0"/>
        <w:spacing w:before="0" w:after="20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7665"/>
                <wp:effectExtent l="0" t="0" r="0" b="0"/>
                <wp:wrapNone/>
                <wp:docPr id="138" name="Frame13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0"/>
          <w:u w:val="single"/>
        </w:rPr>
        <w:t>Foreign Asset/Account Reporting Information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Participant is required to report any foreign specified property on Form T1135 (Foreign Income Verification Statement) if the total value of the foreign specified property exceeds C$100,000 at any time during the year. Foreign specified property includes shares of Stock acquired under the Plan, and may include the Option. The Option must be reported (generally at a nil cost) if the C$100,000 cost threshold is exceeded because of other foreign property the Participant holds. If shares of Stock are acquired, their cost generally is the adjusted cost base (“ACB”) of the shares of Stock. The ACB ordinarily would equal the fair market value of the shares of Stock at the time of acquisition, but if the Participant owns other shares of Stock, this ACB may have to be averaged with the ACB of the other shares of Stock. The Form must be filed by April 30 of the following year. The Participant should consult with a personal advisor to ensure that the Participant complies with the applicable requirements.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FRANCE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left"/>
        <w:rPr/>
      </w:pPr>
      <w:r>
        <w:rPr>
          <w:rFonts w:ascii="Times New Roman;serif" w:hAnsi="Times New Roman;serif"/>
          <w:b w:val="false"/>
          <w:color w:val="000000"/>
          <w:sz w:val="20"/>
          <w:u w:val="single"/>
        </w:rPr>
        <w:t>Option Type</w:t>
      </w:r>
      <w:r>
        <w:rPr>
          <w:rFonts w:ascii="Times New Roman;serif" w:hAnsi="Times New Roman;serif"/>
          <w:b w:val="false"/>
          <w:color w:val="000000"/>
          <w:sz w:val="20"/>
        </w:rPr>
        <w:t>. The Option is not intended to qualify for specific tax or social security treatment in France.</w:t>
      </w:r>
    </w:p>
    <w:p>
      <w:pPr>
        <w:pStyle w:val="TextBody"/>
        <w:bidi w:val="0"/>
        <w:spacing w:lineRule="auto" w:line="288" w:before="0" w:after="240"/>
        <w:jc w:val="left"/>
        <w:rPr/>
      </w:pPr>
      <w:r>
        <w:rPr>
          <w:rFonts w:ascii="Times New Roman;serif" w:hAnsi="Times New Roman;serif"/>
          <w:b w:val="false"/>
          <w:color w:val="000000"/>
          <w:sz w:val="20"/>
          <w:u w:val="single"/>
        </w:rPr>
        <w:t>Consent to Receive Information in English</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By accepting the Option, the Participant confirms having read and understood the Plan and this Agreement, including all terms and conditions included therein, which were provided in the English language. The Participant accepts the terms of those documents accordingly.</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En acceptant cette Option, vous confirmez avoir lu et compris le Plan et cette convention, incluant tous leurs termes et conditions, qui ont été transmis en langue anglaise. Vous acceptez les dispositions de ces documents en connaissance de cause.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left"/>
        <w:rPr/>
      </w:pPr>
      <w:r>
        <w:rPr>
          <w:rFonts w:ascii="Times New Roman;serif" w:hAnsi="Times New Roman;serif"/>
          <w:b w:val="false"/>
          <w:color w:val="000000"/>
          <w:sz w:val="20"/>
          <w:u w:val="single"/>
        </w:rPr>
        <w:t>Foreign Asset/Account Reporting Information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French residents and non-residents must declare to the Customs Authorities the cash and securities they import or export without the use of a financial institution when the value of such cash or securities exceeds €10,000. French residents with foreign account balances exceeding €1,000,000 must report any transactions carried out on those accounts to the Bank of France on a monthly basis. French residents must also report all foreign bank and brokerage accounts on an annual basis (included accounts opened or closed during the tax year) on a specific form together with the income tax return. Failure to comply could trigger significant penalties.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GERMANY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Notifications</w:t>
      </w:r>
    </w:p>
    <w:p>
      <w:pPr>
        <w:pStyle w:val="TextBody"/>
        <w:bidi w:val="0"/>
        <w:spacing w:lineRule="auto" w:line="288" w:before="0" w:after="240"/>
        <w:jc w:val="left"/>
        <w:rPr/>
      </w:pPr>
      <w:r>
        <w:rPr>
          <w:rFonts w:ascii="Times New Roman;serif" w:hAnsi="Times New Roman;serif"/>
          <w:b w:val="false"/>
          <w:color w:val="000000"/>
          <w:sz w:val="20"/>
          <w:u w:val="single"/>
        </w:rPr>
        <w:t>Exchange Control Notification</w:t>
      </w:r>
      <w:r>
        <w:rPr>
          <w:rFonts w:ascii="Times New Roman;serif" w:hAnsi="Times New Roman;serif"/>
          <w:b w:val="false"/>
          <w:color w:val="000000"/>
          <w:sz w:val="20"/>
        </w:rPr>
        <w:t>. Cross-border payments in excess of €12,500 must be reported monthly to the German Federal Bank. If Participant makes or receives a payment in excess of this amount, Participant must report the payment to the German Federal Bank electronically using the “General Statistics Reporting Portal” (“</w:t>
      </w:r>
      <w:r>
        <w:rPr>
          <w:rFonts w:ascii="Times New Roman;serif" w:hAnsi="Times New Roman;serif"/>
          <w:b w:val="false"/>
          <w:i/>
          <w:color w:val="000000"/>
          <w:sz w:val="20"/>
        </w:rPr>
        <w:t>Allgemeines Meldeportal Statistik</w:t>
      </w:r>
      <w:r>
        <w:rPr>
          <w:color w:val="000000"/>
        </w:rPr>
        <w:t>”</w:t>
      </w:r>
      <w:r>
        <w:rPr>
          <w:rFonts w:ascii="Times New Roman;serif" w:hAnsi="Times New Roman;serif"/>
          <w:b w:val="false"/>
          <w:color w:val="000000"/>
          <w:sz w:val="20"/>
        </w:rPr>
        <w:t xml:space="preserve">) available via the German Federal Bank’s website (www.bundesbank.de).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Terms and Conditions</w:t>
      </w:r>
    </w:p>
    <w:p>
      <w:pPr>
        <w:pStyle w:val="TextBody"/>
        <w:bidi w:val="0"/>
        <w:spacing w:lineRule="auto" w:line="288" w:before="0" w:after="240"/>
        <w:jc w:val="left"/>
        <w:rPr/>
      </w:pPr>
      <w:r>
        <w:rPr>
          <w:rFonts w:ascii="Times New Roman;serif" w:hAnsi="Times New Roman;serif"/>
          <w:b w:val="false"/>
          <w:color w:val="000000"/>
          <w:sz w:val="20"/>
          <w:u w:val="single"/>
        </w:rPr>
        <w:t>Taxes and Other Deductions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following supplements Section 3.4 of the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If payment or withholding of the income tax due is not made within ninety (90) days of the end of the tax year in which the event giving rise to the liability occurred or such other period specified in Section 222(1)(c) of the U.K. Income Tax (Earnings and Pensions) Act 2003 (the “Due Date”), the amount of any uncollected tax liability shall </w:t>
      </w:r>
    </w:p>
    <w:p>
      <w:pPr>
        <w:pStyle w:val="TextBody"/>
        <w:bidi w:val="0"/>
        <w:spacing w:before="0" w:after="20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67665"/>
                <wp:effectExtent l="0" t="0" r="0" b="0"/>
                <wp:wrapNone/>
                <wp:docPr id="139" name="Frame13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constitute a loan owed by the Participant to the Company or the Employer, as applicable, effective as of the Due Date. The Participant agrees that the loan will bear interest at the then-current official rate of Her Majesty’s Revenue &amp; Customs (“HMRC”), it will be immediately due and repayable, and the Company or the Employer, as applicable, may recover it at any time thereafter by any of the means referred to in Section 3.4 of the Agreement.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if the Participant is a director or executive officer of the Company (within the meaning of Section 13(k) of the U.S. Securities and Exchange Act of 1934, as amended), the Participant shall not be eligible for a loan as described above. In the event that the Participant is a director or executive officer and the amount of any income tax is not collected from or paid by the Participant by the Due Date, the amount of any uncollected tax liability may constitute a benefit to the Participant on which additional income tax and National Insurance contributions (“NICs”) may be payable. The Participant understands that he or she will be responsible for reporting any income tax and NICs due on this additional benefit directly to HMRC under the self-assessment regime and for reimbursing the Company or the Employer, as applicable, for the value of any NICs due on this additional benefit.</w:t>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7665"/>
                <wp:effectExtent l="0" t="0" r="0" b="0"/>
                <wp:wrapNone/>
                <wp:docPr id="140" name="Frame13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USE WITH FIVE YEAR AWARDS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VESTING </w:t>
      </w:r>
    </w:p>
    <w:p>
      <w:pPr>
        <w:pStyle w:val="TextBody"/>
        <w:bidi w:val="0"/>
        <w:spacing w:lineRule="auto" w:line="288" w:before="180" w:after="283"/>
        <w:jc w:val="center"/>
        <w:rPr/>
      </w:pPr>
      <w:r>
        <w:rPr>
          <w:rFonts w:ascii="Times New Roman;serif" w:hAnsi="Times New Roman;serif"/>
          <w:b w:val="false"/>
          <w:color w:val="000000"/>
          <w:sz w:val="20"/>
          <w:u w:val="single"/>
        </w:rPr>
        <w:t>Annual Operational Performance per Diluted Share</w:t>
      </w:r>
      <w:r>
        <w:rPr>
          <w:rFonts w:ascii="Times New Roman;serif" w:hAnsi="Times New Roman;serif"/>
          <w:b w:val="false"/>
          <w:color w:val="000000"/>
          <w:sz w:val="10"/>
          <w:u w:val="single"/>
        </w:rPr>
        <w:t>1</w:t>
      </w:r>
      <w:r>
        <w:rPr>
          <w:color w:val="000000"/>
          <w:u w:val="single"/>
        </w:rPr>
        <w:t xml:space="preserve"> </w:t>
      </w:r>
    </w:p>
    <w:tbl>
      <w:tblPr>
        <w:tblW w:w="8621" w:type="dxa"/>
        <w:jc w:val="left"/>
        <w:tblInd w:w="0" w:type="dxa"/>
        <w:tblLayout w:type="fixed"/>
        <w:tblCellMar>
          <w:top w:w="28" w:type="dxa"/>
          <w:left w:w="28" w:type="dxa"/>
          <w:bottom w:w="28" w:type="dxa"/>
          <w:right w:w="28" w:type="dxa"/>
        </w:tblCellMar>
      </w:tblPr>
      <w:tblGrid>
        <w:gridCol w:w="390"/>
        <w:gridCol w:w="344"/>
        <w:gridCol w:w="346"/>
        <w:gridCol w:w="109"/>
        <w:gridCol w:w="109"/>
        <w:gridCol w:w="109"/>
        <w:gridCol w:w="150"/>
        <w:gridCol w:w="150"/>
        <w:gridCol w:w="150"/>
        <w:gridCol w:w="150"/>
        <w:gridCol w:w="150"/>
        <w:gridCol w:w="150"/>
        <w:gridCol w:w="125"/>
        <w:gridCol w:w="125"/>
        <w:gridCol w:w="125"/>
        <w:gridCol w:w="125"/>
        <w:gridCol w:w="125"/>
        <w:gridCol w:w="125"/>
        <w:gridCol w:w="224"/>
        <w:gridCol w:w="224"/>
        <w:gridCol w:w="224"/>
        <w:gridCol w:w="224"/>
        <w:gridCol w:w="224"/>
        <w:gridCol w:w="228"/>
        <w:gridCol w:w="109"/>
        <w:gridCol w:w="109"/>
        <w:gridCol w:w="109"/>
        <w:gridCol w:w="109"/>
        <w:gridCol w:w="109"/>
        <w:gridCol w:w="109"/>
        <w:gridCol w:w="150"/>
        <w:gridCol w:w="150"/>
        <w:gridCol w:w="150"/>
        <w:gridCol w:w="150"/>
        <w:gridCol w:w="150"/>
        <w:gridCol w:w="150"/>
        <w:gridCol w:w="132"/>
        <w:gridCol w:w="132"/>
        <w:gridCol w:w="132"/>
        <w:gridCol w:w="132"/>
        <w:gridCol w:w="132"/>
        <w:gridCol w:w="132"/>
        <w:gridCol w:w="224"/>
        <w:gridCol w:w="224"/>
        <w:gridCol w:w="224"/>
        <w:gridCol w:w="273"/>
        <w:gridCol w:w="273"/>
        <w:gridCol w:w="280"/>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Minimum Vesting (10%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Maximum Vesting (17.5% Growth)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Fiscal Year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(B)</w:t>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(D)</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583.13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622.89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641.45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731.90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705.59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859.98</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776.15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1,010.48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853.76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1,187.31</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Annual Operational Performance Vesting</w:t>
      </w:r>
      <w:r>
        <w:rPr>
          <w:rFonts w:ascii="Times New Roman;serif" w:hAnsi="Times New Roman;serif"/>
          <w:b w:val="false"/>
          <w:color w:val="000000"/>
          <w:sz w:val="20"/>
        </w:rPr>
        <w:t xml:space="preserve">. Effective as of the last day of each of the Company’s fiscal years 2026-2030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X. For each year (the “Performance Year”), the Annual Amount is zero if the Annual Operational Performance per Diluted Share (“AOP”)</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 In calculating the AOP in Section X above for any Performance Year there shall also be taken into account any AOP in any of the two prior Performance Years (starting in fiscal year 2026) which was in excess of the amount indicated in Column (E) for such prior year and has not previously been taken into account hereunder but only if doing so would increase the Annual Amount in such Performance Year; provided, however that the excess applied </w:t>
      </w:r>
    </w:p>
    <w:p>
      <w:pPr>
        <w:pStyle w:val="TextBody"/>
        <w:bidi w:val="0"/>
        <w:spacing w:lineRule="auto" w:line="288"/>
        <w:jc w:val="left"/>
        <w:rPr/>
      </w:pPr>
      <w:r>
        <w:rPr>
          <w:rFonts w:ascii="sans-serif" w:hAnsi="sans-serif"/>
          <w:b w:val="false"/>
          <w:color w:val="000000"/>
          <w:sz w:val="13"/>
        </w:rPr>
        <w:t>2</w:t>
      </w:r>
      <w:r>
        <w:rPr>
          <w:color w:val="000000"/>
        </w:rPr>
        <w:t xml:space="preserve"> </w:t>
      </w:r>
      <w:r>
        <w:rPr>
          <w:rFonts w:ascii="Times New Roman;serif" w:hAnsi="Times New Roman;serif"/>
          <w:b w:val="false"/>
          <w:color w:val="000000"/>
          <w:sz w:val="20"/>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serif" w:hAnsi="Times New Roman;serif"/>
          <w:b w:val="false"/>
          <w:color w:val="000000"/>
          <w:sz w:val="20"/>
          <w:u w:val="single"/>
        </w:rPr>
        <w:t>Exhibit A</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Exhibit B</w:t>
      </w:r>
      <w:r>
        <w:rPr>
          <w:rFonts w:ascii="Times New Roman;serif" w:hAnsi="Times New Roman;serif"/>
          <w:b w:val="false"/>
          <w:color w:val="000000"/>
          <w:sz w:val="20"/>
        </w:rPr>
        <w:t>, the Fixed Market Multiple shall mean 12.15, as adjusted for the weighted EBITDA multiple of future acquisitions as determined by the Committee.</w:t>
      </w:r>
    </w:p>
    <w:p>
      <w:pPr>
        <w:pStyle w:val="TextBody"/>
        <w:bidi w:val="0"/>
        <w:spacing w:before="0" w:after="20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67665"/>
                <wp:effectExtent l="0" t="0" r="0" b="0"/>
                <wp:wrapNone/>
                <wp:docPr id="141" name="Frame14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this Section Y and Section Z below shall be limited in any given year to $100. If the Participant is subsequently awarded options vesting in 2031 and 2032, any AOP during 2029 and 2030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 If the Annual Amount in any Performance Year is less than the amount indicated in column (D) for such year then an amount equal to the excess of (1) the amount indicated in column (D) for the applicable Performance Year 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 </w:t>
      </w:r>
    </w:p>
    <w:p>
      <w:pPr>
        <w:pStyle w:val="TextBody"/>
        <w:bidi w:val="0"/>
        <w:spacing w:before="0" w:after="0"/>
        <w:jc w:val="left"/>
        <w:rPr/>
      </w:pPr>
      <w:r>
        <w:rPr/>
      </w:r>
    </w:p>
    <w:p>
      <w:pPr>
        <w:pStyle w:val="TextBody"/>
        <w:bidi w:val="0"/>
        <w:spacing w:lineRule="auto" w:line="288" w:before="0" w:after="200"/>
        <w:jc w:val="left"/>
        <w:rPr/>
      </w:pPr>
      <w:r>
        <w:rPr>
          <w:rFonts w:ascii="Times New Roman;serif" w:hAnsi="Times New Roman;serif"/>
          <w:b w:val="false"/>
          <w:color w:val="000000"/>
          <w:sz w:val="20"/>
        </w:rPr>
        <w:t>2.</w:t>
      </w:r>
      <w:r>
        <w:rPr>
          <w:color w:val="000000"/>
          <w:u w:val="single"/>
        </w:rPr>
        <w:t xml:space="preserve"> </w:t>
      </w:r>
      <w:r>
        <w:rPr>
          <w:rFonts w:ascii="Times New Roman;serif" w:hAnsi="Times New Roman;serif"/>
          <w:b w:val="false"/>
          <w:color w:val="000000"/>
          <w:sz w:val="20"/>
          <w:u w:val="single"/>
        </w:rPr>
        <w:t>Adjustments of Operational Performance Objectives</w:t>
      </w:r>
      <w:r>
        <w:rPr>
          <w:rFonts w:ascii="Times New Roman;serif" w:hAnsi="Times New Roman;serif"/>
          <w:b w:val="false"/>
          <w:color w:val="000000"/>
          <w:sz w:val="20"/>
        </w:rPr>
        <w:t>. The Operational Performance targets specified in this Exhibit B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Exhibit B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7665"/>
                <wp:effectExtent l="0" t="0" r="0" b="0"/>
                <wp:wrapNone/>
                <wp:docPr id="142" name="Frame14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USE WITH EXTENSION GRANTS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VESTING </w:t>
      </w:r>
    </w:p>
    <w:p>
      <w:pPr>
        <w:pStyle w:val="TextBody"/>
        <w:bidi w:val="0"/>
        <w:spacing w:lineRule="auto" w:line="288" w:before="180" w:after="283"/>
        <w:jc w:val="center"/>
        <w:rPr/>
      </w:pPr>
      <w:r>
        <w:rPr>
          <w:rFonts w:ascii="Times New Roman;serif" w:hAnsi="Times New Roman;serif"/>
          <w:b w:val="false"/>
          <w:color w:val="000000"/>
          <w:sz w:val="20"/>
          <w:u w:val="single"/>
        </w:rPr>
        <w:t>Annual Operational Performance per Diluted Share</w:t>
      </w:r>
      <w:r>
        <w:rPr>
          <w:rFonts w:ascii="Times New Roman;serif" w:hAnsi="Times New Roman;serif"/>
          <w:b w:val="false"/>
          <w:color w:val="000000"/>
          <w:sz w:val="10"/>
          <w:u w:val="single"/>
        </w:rPr>
        <w:t>1</w:t>
      </w:r>
      <w:r>
        <w:rPr>
          <w:color w:val="000000"/>
          <w:u w:val="single"/>
        </w:rPr>
        <w:t xml:space="preserve"> </w:t>
      </w:r>
    </w:p>
    <w:tbl>
      <w:tblPr>
        <w:tblW w:w="9031" w:type="dxa"/>
        <w:jc w:val="left"/>
        <w:tblInd w:w="0" w:type="dxa"/>
        <w:tblLayout w:type="fixed"/>
        <w:tblCellMar>
          <w:top w:w="28" w:type="dxa"/>
          <w:left w:w="28" w:type="dxa"/>
          <w:bottom w:w="28" w:type="dxa"/>
          <w:right w:w="28" w:type="dxa"/>
        </w:tblCellMar>
      </w:tblPr>
      <w:tblGrid>
        <w:gridCol w:w="390"/>
        <w:gridCol w:w="344"/>
        <w:gridCol w:w="346"/>
        <w:gridCol w:w="109"/>
        <w:gridCol w:w="109"/>
        <w:gridCol w:w="109"/>
        <w:gridCol w:w="150"/>
        <w:gridCol w:w="150"/>
        <w:gridCol w:w="150"/>
        <w:gridCol w:w="150"/>
        <w:gridCol w:w="150"/>
        <w:gridCol w:w="150"/>
        <w:gridCol w:w="115"/>
        <w:gridCol w:w="115"/>
        <w:gridCol w:w="287"/>
        <w:gridCol w:w="115"/>
        <w:gridCol w:w="115"/>
        <w:gridCol w:w="115"/>
        <w:gridCol w:w="224"/>
        <w:gridCol w:w="224"/>
        <w:gridCol w:w="224"/>
        <w:gridCol w:w="360"/>
        <w:gridCol w:w="361"/>
        <w:gridCol w:w="226"/>
        <w:gridCol w:w="109"/>
        <w:gridCol w:w="109"/>
        <w:gridCol w:w="109"/>
        <w:gridCol w:w="109"/>
        <w:gridCol w:w="109"/>
        <w:gridCol w:w="109"/>
        <w:gridCol w:w="150"/>
        <w:gridCol w:w="150"/>
        <w:gridCol w:w="150"/>
        <w:gridCol w:w="150"/>
        <w:gridCol w:w="150"/>
        <w:gridCol w:w="150"/>
        <w:gridCol w:w="116"/>
        <w:gridCol w:w="116"/>
        <w:gridCol w:w="290"/>
        <w:gridCol w:w="116"/>
        <w:gridCol w:w="116"/>
        <w:gridCol w:w="116"/>
        <w:gridCol w:w="376"/>
        <w:gridCol w:w="217"/>
        <w:gridCol w:w="217"/>
        <w:gridCol w:w="217"/>
        <w:gridCol w:w="220"/>
        <w:gridCol w:w="200"/>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5"/>
              </w:rPr>
            </w:pPr>
            <w:r>
              <w:rPr>
                <w:rFonts w:ascii="Times New Roman;serif" w:hAnsi="Times New Roman;serif"/>
                <w:b/>
                <w:color w:val="000000"/>
                <w:sz w:val="15"/>
              </w:rPr>
              <w:t>Minimum Vesting (10%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5"/>
              </w:rPr>
            </w:pPr>
            <w:r>
              <w:rPr>
                <w:rFonts w:ascii="Times New Roman;serif" w:hAnsi="Times New Roman;serif"/>
                <w:b/>
                <w:color w:val="000000"/>
                <w:sz w:val="15"/>
              </w:rPr>
              <w:t>Maximum Vesting (17.5% Growth)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Fiscal Year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(B)</w:t>
            </w:r>
          </w:p>
        </w:tc>
        <w:tc>
          <w:tcPr>
            <w:tcW w:w="51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(D)</w:t>
            </w:r>
          </w:p>
        </w:tc>
        <w:tc>
          <w:tcPr>
            <w:tcW w:w="52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6"/>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100" w:after="10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7" w:type="dxa"/>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776.15 </w:t>
            </w:r>
          </w:p>
        </w:tc>
        <w:tc>
          <w:tcPr>
            <w:tcW w:w="22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5"/>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0" w:type="dxa"/>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4"/>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1,010.48 </w:t>
            </w:r>
          </w:p>
        </w:tc>
        <w:tc>
          <w:tcPr>
            <w:tcW w:w="200"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100" w:after="10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853.76 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5"/>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9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gridSpan w:val="4"/>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1,187.31 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Annual Operational Performance Vesting</w:t>
      </w:r>
      <w:r>
        <w:rPr>
          <w:rFonts w:ascii="Times New Roman;serif" w:hAnsi="Times New Roman;serif"/>
          <w:b w:val="false"/>
          <w:color w:val="000000"/>
          <w:sz w:val="20"/>
        </w:rPr>
        <w:t xml:space="preserve">. Effective as of the last day of each of the Company’s fiscal years 2029-2030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 </w:t>
      </w:r>
    </w:p>
    <w:p>
      <w:pPr>
        <w:pStyle w:val="TextBody"/>
        <w:bidi w:val="0"/>
        <w:spacing w:lineRule="auto" w:line="288" w:before="180" w:after="283"/>
        <w:jc w:val="left"/>
        <w:rPr/>
      </w:pPr>
      <w:r>
        <w:rPr>
          <w:rFonts w:ascii="Times New Roman;serif" w:hAnsi="Times New Roman;serif"/>
          <w:b w:val="false"/>
          <w:color w:val="000000"/>
          <w:sz w:val="20"/>
        </w:rPr>
        <w:t>X. For each year (the “Performance Year”), the Annual Amount is zero if the Annual Operational Performance per Diluted Share</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(“AOP”) 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Y. In calculating the AOP in Section X above for any Performance Year there shall also be taken into account any AOP in any of the two prior Performance Years (starting in fiscal year 2029)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2031 and 2032, any AOP during 2029 and 2030 in excess of the amount indicated in Column (E) (and not previously taken into account hereunder) may be used in one or more of the next two following years by treating such excess as AOP in the Performance Year under the option agreement granting said options; provided, however that the excess applied in this sentence shall be limited in any given year to $100.</w:t>
      </w:r>
    </w:p>
    <w:p>
      <w:pPr>
        <w:pStyle w:val="TextBody"/>
        <w:bidi w:val="0"/>
        <w:spacing w:lineRule="auto" w:line="288"/>
        <w:jc w:val="left"/>
        <w:rPr/>
      </w:pPr>
      <w:r>
        <w:rPr>
          <w:rFonts w:ascii="sans-serif" w:hAnsi="sans-serif"/>
          <w:b w:val="false"/>
          <w:color w:val="000000"/>
          <w:sz w:val="13"/>
        </w:rPr>
        <w:t>3</w:t>
      </w:r>
      <w:r>
        <w:rPr>
          <w:color w:val="000000"/>
        </w:rPr>
        <w:t xml:space="preserve"> </w:t>
      </w:r>
      <w:r>
        <w:rPr>
          <w:rFonts w:ascii="Times New Roman;serif" w:hAnsi="Times New Roman;serif"/>
          <w:b w:val="false"/>
          <w:color w:val="000000"/>
          <w:sz w:val="20"/>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serif" w:hAnsi="Times New Roman;serif"/>
          <w:b w:val="false"/>
          <w:color w:val="000000"/>
          <w:sz w:val="20"/>
          <w:u w:val="single"/>
        </w:rPr>
        <w:t>Exhibit A</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Exhibit B</w:t>
      </w:r>
      <w:r>
        <w:rPr>
          <w:rFonts w:ascii="Times New Roman;serif" w:hAnsi="Times New Roman;serif"/>
          <w:b w:val="false"/>
          <w:color w:val="000000"/>
          <w:sz w:val="20"/>
        </w:rPr>
        <w:t>, the Fixed Market Multiple shall mean 12.15, as adjusted for the weighted EBITDA multiple of future acquisitions as determined by the Committee.</w:t>
      </w:r>
    </w:p>
    <w:p>
      <w:pPr>
        <w:pStyle w:val="TextBody"/>
        <w:bidi w:val="0"/>
        <w:spacing w:before="0" w:after="20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67665"/>
                <wp:effectExtent l="0" t="0" r="0" b="0"/>
                <wp:wrapNone/>
                <wp:docPr id="143" name="Frame14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Z. If the Annual Amount in any Performance Year is less than the amount indicated in column (D) for such year then an amount equal to the excess of (1) the amount indicated in column (D) for the applicable Performance Year 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 </w:t>
      </w:r>
      <w:r>
        <w:rPr>
          <w:rFonts w:ascii="Times New Roman;serif" w:hAnsi="Times New Roman;serif"/>
          <w:b w:val="false"/>
          <w:color w:val="000000"/>
          <w:sz w:val="20"/>
          <w:u w:val="single"/>
        </w:rPr>
        <w:t>Adjustments of Operational Performance Objectives</w:t>
      </w:r>
      <w:r>
        <w:rPr>
          <w:rFonts w:ascii="Times New Roman;serif" w:hAnsi="Times New Roman;serif"/>
          <w:b w:val="false"/>
          <w:color w:val="000000"/>
          <w:sz w:val="20"/>
        </w:rPr>
        <w:t xml:space="preserve">. The Operational Performance targets specified in this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 xml:space="preserve">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p>
    <w:p>
      <w:pPr>
        <w:pStyle w:val="TextBody"/>
        <w:bidi w:val="0"/>
        <w:jc w:val="center"/>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7665"/>
                <wp:effectExtent l="0" t="0" r="0" b="0"/>
                <wp:wrapNone/>
                <wp:docPr id="144" name="Frame14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USE WITH CHIEF EXECUTIVE OFFICER SALARY GRANTS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VESTING </w:t>
      </w:r>
    </w:p>
    <w:p>
      <w:pPr>
        <w:pStyle w:val="TextBody"/>
        <w:bidi w:val="0"/>
        <w:spacing w:lineRule="auto" w:line="288" w:before="0" w:after="0"/>
        <w:jc w:val="center"/>
        <w:rPr/>
      </w:pPr>
      <w:r>
        <w:rPr>
          <w:rFonts w:ascii="Times New Roman;serif" w:hAnsi="Times New Roman;serif"/>
          <w:b w:val="false"/>
          <w:color w:val="000000"/>
          <w:sz w:val="20"/>
          <w:u w:val="single"/>
        </w:rPr>
        <w:br/>
        <w:t>Annual Operational Performance per Diluted Share</w:t>
      </w:r>
      <w:r>
        <w:rPr>
          <w:rFonts w:ascii="Times New Roman;serif" w:hAnsi="Times New Roman;serif"/>
          <w:b w:val="false"/>
          <w:color w:val="000000"/>
          <w:sz w:val="13"/>
          <w:u w:val="single"/>
        </w:rPr>
        <w:t>1</w:t>
      </w:r>
    </w:p>
    <w:tbl>
      <w:tblPr>
        <w:tblW w:w="8471" w:type="dxa"/>
        <w:jc w:val="left"/>
        <w:tblInd w:w="0" w:type="dxa"/>
        <w:tblLayout w:type="fixed"/>
        <w:tblCellMar>
          <w:top w:w="28" w:type="dxa"/>
          <w:left w:w="28" w:type="dxa"/>
          <w:bottom w:w="28" w:type="dxa"/>
          <w:right w:w="28" w:type="dxa"/>
        </w:tblCellMar>
      </w:tblPr>
      <w:tblGrid>
        <w:gridCol w:w="390"/>
        <w:gridCol w:w="344"/>
        <w:gridCol w:w="346"/>
        <w:gridCol w:w="109"/>
        <w:gridCol w:w="109"/>
        <w:gridCol w:w="109"/>
        <w:gridCol w:w="150"/>
        <w:gridCol w:w="150"/>
        <w:gridCol w:w="150"/>
        <w:gridCol w:w="150"/>
        <w:gridCol w:w="150"/>
        <w:gridCol w:w="150"/>
        <w:gridCol w:w="125"/>
        <w:gridCol w:w="125"/>
        <w:gridCol w:w="125"/>
        <w:gridCol w:w="125"/>
        <w:gridCol w:w="125"/>
        <w:gridCol w:w="125"/>
        <w:gridCol w:w="224"/>
        <w:gridCol w:w="224"/>
        <w:gridCol w:w="224"/>
        <w:gridCol w:w="224"/>
        <w:gridCol w:w="224"/>
        <w:gridCol w:w="228"/>
        <w:gridCol w:w="109"/>
        <w:gridCol w:w="109"/>
        <w:gridCol w:w="109"/>
        <w:gridCol w:w="109"/>
        <w:gridCol w:w="109"/>
        <w:gridCol w:w="109"/>
        <w:gridCol w:w="150"/>
        <w:gridCol w:w="150"/>
        <w:gridCol w:w="150"/>
        <w:gridCol w:w="150"/>
        <w:gridCol w:w="150"/>
        <w:gridCol w:w="150"/>
        <w:gridCol w:w="132"/>
        <w:gridCol w:w="132"/>
        <w:gridCol w:w="132"/>
        <w:gridCol w:w="132"/>
        <w:gridCol w:w="132"/>
        <w:gridCol w:w="132"/>
        <w:gridCol w:w="224"/>
        <w:gridCol w:w="224"/>
        <w:gridCol w:w="224"/>
        <w:gridCol w:w="224"/>
        <w:gridCol w:w="224"/>
        <w:gridCol w:w="228"/>
        <w:gridCol w:w="109"/>
        <w:gridCol w:w="109"/>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Minimum Vesting (10% Growth)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18"/>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Maximum Vesting (17.5% Growth)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Fiscal Year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(B)</w:t>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5"/>
              </w:rPr>
              <w:t>% of Shares</w:t>
              <w:br/>
              <w:t>Vesting</w:t>
            </w:r>
            <w:r>
              <w:rPr>
                <w:rFonts w:ascii="Times New Roman;serif" w:hAnsi="Times New Roman;serif"/>
                <w:b w:val="false"/>
                <w:color w:val="000000"/>
                <w:sz w:val="15"/>
              </w:rPr>
              <w:br/>
            </w:r>
            <w:r>
              <w:rPr>
                <w:rFonts w:ascii="Times New Roman;serif" w:hAnsi="Times New Roman;serif"/>
                <w:b/>
                <w:color w:val="000000"/>
                <w:sz w:val="15"/>
              </w:rPr>
              <w:t>(D)</w:t>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5"/>
              </w:rPr>
            </w:pPr>
            <w:r>
              <w:rPr>
                <w:rFonts w:ascii="Times New Roman;serif" w:hAnsi="Times New Roman;serif"/>
                <w:b/>
                <w:color w:val="000000"/>
                <w:sz w:val="15"/>
              </w:rPr>
              <w:t>YE Operating</w:t>
              <w:br/>
              <w:t>Performance</w:t>
              <w:br/>
              <w:t>(per Diluted Share)</w:t>
              <w:br/>
              <w: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583.13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80%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622.89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641.45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6"/>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20%</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731.90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 </w:t>
      </w:r>
      <w:r>
        <w:rPr>
          <w:rFonts w:ascii="Times New Roman;serif" w:hAnsi="Times New Roman;serif"/>
          <w:b w:val="false"/>
          <w:color w:val="000000"/>
          <w:sz w:val="20"/>
          <w:u w:val="single"/>
        </w:rPr>
        <w:t>Annual Operational Performance Vesting</w:t>
      </w:r>
      <w:r>
        <w:rPr>
          <w:rFonts w:ascii="Times New Roman;serif" w:hAnsi="Times New Roman;serif"/>
          <w:b w:val="false"/>
          <w:color w:val="000000"/>
          <w:sz w:val="20"/>
        </w:rPr>
        <w:t xml:space="preserve">. Effective as of the last day of each of the Company’s fiscal years 2026-2027 there shall become vested the percentage of shares covered by the Option which is equal to the Annual Amount (as described below). The Options shall become vested and exercisable as of the date that the Administrator verifies the AOP (as defined below); provided, however, the vesting hereunder will be effective as to Participant as of the end of the fiscal year to which such Annual Amount relates (notwithstanding any termination of Participant’s employment during the period between the end of such fiscal year and the verification of the AOP and, in such case, notwithstanding the provisions of Section 3.1(b)). For each such fiscal year, the Administrator shall verify the AOP, and shall notify the Company’s Chief Executive Officer of its determination with respect thereto, within ten business days after the Administrator receives the Company’s audited financial statements for that fiscal year.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X. For each year (the “Performance Year”), the Annual Amount is zero if the Annual Operational Performance per Diluted Share (“AOP”)</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 xml:space="preserve">with respect to such year is less than the amount indicated for such year in column (C). Otherwise the Annual Amount shall be equal to the amount indicated for such year in column (B) plus the product of (a) the excess of (1) the amount indicated for such year in column (D) over (2) the amount indicated for such year in column (B) and (b) the ratio of (1) the excess of (x) the AOP with respect to the year (but not more than the amount indicated in Column (E) for such year) over (y) the amount indicated for such year in column (C) to (2) the excess of (x) the amount indicated for such year in column (E) over (y) the amount indicated for such year in column (C).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 In calculating the AOP in Section X above for any Performance Year there shall also be taken into account any AOP in any of the two prior Performance Years (starting in fiscal year 2026) which was in excess of the amount indicated in Column (E) for such prior year and has not previously been taken into account hereunder but only if doing so would increase the Annual Amount in such Performance Year; provided, however that the excess applied under this Section Y and Section Z below shall be limited in any given year to $100. If the Participant is subsequently awarded options vesting in 2028 and 2029, any AOP during 2026 and 2027 in excess of the amount indicated in Column (E) (and not previously taken into account hereunder) may be used in one or more of the next </w:t>
      </w:r>
    </w:p>
    <w:p>
      <w:pPr>
        <w:pStyle w:val="TextBody"/>
        <w:bidi w:val="0"/>
        <w:spacing w:lineRule="auto" w:line="288"/>
        <w:jc w:val="left"/>
        <w:rPr/>
      </w:pPr>
      <w:r>
        <w:rPr>
          <w:rFonts w:ascii="sans-serif" w:hAnsi="sans-serif"/>
          <w:b w:val="false"/>
          <w:color w:val="000000"/>
          <w:sz w:val="13"/>
        </w:rPr>
        <w:t>4</w:t>
      </w:r>
      <w:r>
        <w:rPr>
          <w:color w:val="000000"/>
        </w:rPr>
        <w:t xml:space="preserve"> </w:t>
      </w:r>
      <w:r>
        <w:rPr>
          <w:rFonts w:ascii="Times New Roman;serif" w:hAnsi="Times New Roman;serif"/>
          <w:b w:val="false"/>
          <w:color w:val="000000"/>
          <w:sz w:val="20"/>
        </w:rPr>
        <w:t xml:space="preserve">As of a given date, the Company’s “Annual Operational Performance per Diluted Share” shall mean the ratio of (1) the excess of (a) the product of (i) EBITDA and (ii) the Fixed Market Multiple (as defined below) over (b) Net Debt to (2) the Company’s number of Diluted Shares as of such date, where “EBITDA,” “Net Debt” and “Diluted Shares” have the meanings set forth in the Stock Option Agreement set forth on </w:t>
      </w:r>
      <w:r>
        <w:rPr>
          <w:rFonts w:ascii="Times New Roman;serif" w:hAnsi="Times New Roman;serif"/>
          <w:b w:val="false"/>
          <w:color w:val="000000"/>
          <w:sz w:val="20"/>
          <w:u w:val="single"/>
        </w:rPr>
        <w:t>Exhibit A</w:t>
      </w:r>
      <w:r>
        <w:rPr>
          <w:rFonts w:ascii="Times New Roman;serif" w:hAnsi="Times New Roman;serif"/>
          <w:b w:val="false"/>
          <w:color w:val="000000"/>
          <w:sz w:val="20"/>
        </w:rPr>
        <w:t xml:space="preserve">. For purposes of this </w:t>
      </w:r>
      <w:r>
        <w:rPr>
          <w:rFonts w:ascii="Times New Roman;serif" w:hAnsi="Times New Roman;serif"/>
          <w:b w:val="false"/>
          <w:color w:val="000000"/>
          <w:sz w:val="20"/>
          <w:u w:val="single"/>
        </w:rPr>
        <w:t>Exhibit B</w:t>
      </w:r>
      <w:r>
        <w:rPr>
          <w:rFonts w:ascii="Times New Roman;serif" w:hAnsi="Times New Roman;serif"/>
          <w:b w:val="false"/>
          <w:color w:val="000000"/>
          <w:sz w:val="20"/>
        </w:rPr>
        <w:t>, the Fixed Market Multiple shall mean 12.15, as adjusted for the weighted EBITDA multiple of future acquisitions as determined by the Committee.</w:t>
      </w:r>
    </w:p>
    <w:p>
      <w:pPr>
        <w:pStyle w:val="TextBody"/>
        <w:bidi w:val="0"/>
        <w:spacing w:before="0" w:after="20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67665"/>
                <wp:effectExtent l="0" t="0" r="0" b="0"/>
                <wp:wrapNone/>
                <wp:docPr id="145" name="Frame144"/>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two following years by treating such excess as AOP in the Performance Year under the option agreement granting said options; provided, however that the excess applied in this sentence shall be limited in any given year to $100.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Z. If the Annual Amount in any Performance Year is less than the amount indicated in column (D) for such year then an amount equal to the excess of (1) the amount indicated in column (D) for the applicable Performance Year less (2) the actual Annual Amount for such Performance Year (the “Shortfall Amount”) may vest in one or more of the next two following years. If there is an excess of AOP in one or more of the next two following years, such excess can be applied up to the Shortfall Amount not to exceed the amount indicated in column (E) for the Performance Year to which the Shortfall Amount relates; provided, however that the excess applied under this Section Z and Section Y above shall be limited in any given year to $100. The portion of any excess AOP amount which is so used may not be used more than once.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2.</w:t>
      </w:r>
      <w:r>
        <w:rPr>
          <w:color w:val="000000"/>
          <w:u w:val="single"/>
        </w:rPr>
        <w:t xml:space="preserve"> </w:t>
      </w:r>
      <w:r>
        <w:rPr>
          <w:rFonts w:ascii="Times New Roman;serif" w:hAnsi="Times New Roman;serif"/>
          <w:b w:val="false"/>
          <w:color w:val="000000"/>
          <w:sz w:val="20"/>
          <w:u w:val="single"/>
        </w:rPr>
        <w:t>Adjustments of Operational Performance Objectives</w:t>
      </w:r>
      <w:r>
        <w:rPr>
          <w:rFonts w:ascii="Times New Roman;serif" w:hAnsi="Times New Roman;serif"/>
          <w:b w:val="false"/>
          <w:color w:val="000000"/>
          <w:sz w:val="20"/>
        </w:rPr>
        <w:t>. The Operational Performance targets specified in this Exhibit B are based upon certain revenue and expense assumptions about the future business of the Company as of the date the Option is granted. Accordingly, in the event that, after such date, the Administrator determines, in its sole discretion, that any acquisition or disposition of any business by the Company or any dividend or other distribution (whether in the form of cash, Stock, other securities or other property), repurchase of securities, recapitalization, reclassification, stock split, reverse stock split, reorganization, merger, consolidation, split-up, spin-off, combination, repurchase, or exchange of Stock or other securities of the Company, issuance of warrants or other rights to purchase Stock or other securities of the Company, any unusual or nonrecurring transactions or events affecting the Company, or the financial statements of the Company, or change in applicable laws, regulations, or accounting principles occurs such that an adjustment is determined by the Administrator to be appropriate in order to prevent dilution or enlargement of the benefits or potential benefits intended to be made available under the Plan or with respect to the Option, then the Administrator may, in good faith and in such manner as it may deem equitable, adjust the amounts set forth on this Exhibit B (and/or adjust the definitions of EBITDA and Net Debt) to reflect the projected effect of such transaction(s) or event(s) on Operational Performance. Further, in the event that the Company pays a special dividend or repurchases shares, the AOP targets shall be adjusted as determined by the Administrator in accordance with past practice.</w:t>
      </w:r>
      <w:r>
        <w:rPr>
          <w:color w:val="000000"/>
        </w:rPr>
        <w:t xml:space="preserve"> </w:t>
      </w:r>
    </w:p>
    <w:p>
      <w:pPr>
        <w:pStyle w:val="TextBody"/>
        <w:bidi w:val="0"/>
        <w:spacing w:before="0" w:after="20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7665"/>
                <wp:effectExtent l="0" t="0" r="0" b="0"/>
                <wp:wrapNone/>
                <wp:docPr id="146" name="Frame145"/>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C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STOCK RETENTION GUIDELINES </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a condition to receiving the Option grant, Participant acknowledges and agrees to hold a number of shares and/or options with such value and for such period of time as set forth below: </w:t>
      </w:r>
    </w:p>
    <w:p>
      <w:pPr>
        <w:pStyle w:val="TextBody"/>
        <w:bidi w:val="0"/>
        <w:spacing w:lineRule="auto" w:line="288" w:before="180" w:after="283"/>
        <w:ind w:left="0" w:right="0" w:firstLine="490"/>
        <w:jc w:val="left"/>
        <w:rPr/>
      </w:pPr>
      <w:r>
        <w:rPr>
          <w:rFonts w:ascii="Times New Roman;serif" w:hAnsi="Times New Roman;serif"/>
          <w:b w:val="false"/>
          <w:color w:val="000000"/>
          <w:sz w:val="20"/>
        </w:rPr>
        <w:t xml:space="preserve">(a) At all times during Participant’s continued employment by the Company, Participant shall hold an aggregate amount of Company equity with a value equal to or greater than $ </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0"/>
        </w:rPr>
        <w:t>(the “</w:t>
      </w:r>
      <w:r>
        <w:rPr>
          <w:rFonts w:ascii="Times New Roman;serif" w:hAnsi="Times New Roman;serif"/>
          <w:b w:val="false"/>
          <w:color w:val="000000"/>
          <w:sz w:val="20"/>
          <w:u w:val="single"/>
        </w:rPr>
        <w:t>Retention Limit</w:t>
      </w:r>
      <w:r>
        <w:rPr>
          <w:color w:val="000000"/>
        </w:rPr>
        <w:t>”</w:t>
      </w:r>
      <w:r>
        <w:rPr>
          <w:rFonts w:ascii="Times New Roman;serif" w:hAnsi="Times New Roman;serif"/>
          <w:b w:val="false"/>
          <w:color w:val="000000"/>
          <w:sz w:val="20"/>
        </w:rPr>
        <w:t xml:space="preserve">) </w:t>
      </w:r>
      <w:r>
        <w:rPr>
          <w:rFonts w:ascii="Times New Roman;serif" w:hAnsi="Times New Roman;serif"/>
          <w:b/>
          <w:i/>
          <w:color w:val="000000"/>
          <w:sz w:val="20"/>
        </w:rPr>
        <w:t>[NEOS ONLY:, one-half of which must be held in stock]</w:t>
      </w:r>
      <w:r>
        <w:rPr>
          <w:rFonts w:ascii="Times New Roman;serif" w:hAnsi="Times New Roman;serif"/>
          <w:b w:val="false"/>
          <w:color w:val="000000"/>
          <w:sz w:val="20"/>
        </w:rPr>
        <w:t xml:space="preserve">. This Retention Limit will supersede any Retention Limit in any prior dated option agreement between the Company and Participant pursuant to the Plan. </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For purposes of this Exhibit C, Company equity shall be equal to (i) the Fair Market Value of any Common Stock held by the Participant plus (ii) the value of vested options then held by Participant, whether granted pursuant to the Plan, the Company’s 2014 Stock Option Plan, the Company’s 2006 Stock Incentive Plan, the Company’s 2019 Stock Option Plan or otherwise, which will be equal to the Fair Market Value of the Common Stock underlying the options over the exercise price. </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(b) If at any time after the date hereof the aggregate amount of Company equity held by Participant falls below the Retention Limit because of a decline in the Fair Market Value of the Common Stock, Participant will have three years to reach the Retention Limit before the Administrator may exercise any remedies under paragraph (d). </w:t>
      </w:r>
    </w:p>
    <w:p>
      <w:pPr>
        <w:pStyle w:val="TextBody"/>
        <w:bidi w:val="0"/>
        <w:spacing w:lineRule="auto" w:line="288" w:before="18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 Participant shall not be obligated to comply with the Retention Limit until five years from the date of grant; provided, however, that notwithstanding the foregoing, Participant may not make any sales of vested Options until the Retention Limit is reached, and thereafter, only to the extent that Participant would, at the time of the sale, be in compliance with the Retention Limit, except that Participants may make sales under 10b5-1 plans in existence on the date hereof so long as such sales would be in compliance with any preexisting Retention Limit. </w:t>
      </w:r>
    </w:p>
    <w:p>
      <w:pPr>
        <w:pStyle w:val="TextBody"/>
        <w:bidi w:val="0"/>
        <w:spacing w:lineRule="auto" w:line="288" w:before="180" w:after="283"/>
        <w:ind w:left="0" w:right="0" w:firstLine="490"/>
        <w:jc w:val="left"/>
        <w:rPr/>
      </w:pPr>
      <w:r>
        <w:rPr>
          <w:rFonts w:ascii="Times New Roman;serif" w:hAnsi="Times New Roman;serif"/>
          <w:b w:val="false"/>
          <w:color w:val="000000"/>
          <w:sz w:val="20"/>
        </w:rPr>
        <w:t xml:space="preserve">(d) Participant’s failure to hold that number of shares and/or vested options set forth in this </w:t>
      </w:r>
      <w:r>
        <w:rPr>
          <w:rFonts w:ascii="Times New Roman;serif" w:hAnsi="Times New Roman;serif"/>
          <w:b w:val="false"/>
          <w:color w:val="000000"/>
          <w:sz w:val="20"/>
          <w:u w:val="single"/>
        </w:rPr>
        <w:t>Exhibit C</w:t>
      </w:r>
      <w:r>
        <w:rPr>
          <w:color w:val="000000"/>
        </w:rPr>
        <w:t xml:space="preserve"> </w:t>
      </w:r>
      <w:r>
        <w:rPr>
          <w:rFonts w:ascii="Times New Roman;serif" w:hAnsi="Times New Roman;serif"/>
          <w:b w:val="false"/>
          <w:color w:val="000000"/>
          <w:sz w:val="20"/>
        </w:rPr>
        <w:t xml:space="preserve">shall result in Participant’s forfeiture of all unvested Options unless otherwise determined by the Administrator, in its sole discretion. </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67665"/>
                <wp:effectExtent l="0" t="0" r="0" b="0"/>
                <wp:wrapNone/>
                <wp:docPr id="147" name="Frame14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SUBSIDIARIES OF TRANSDIGM GROUP INCORPORATED</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TransDigm Inc. is a 100% owned subsidiary of TransDigm Group Incorporated. TransDigm Inc. owns directly or indirectly the following subsidiaries: </w:t>
      </w:r>
    </w:p>
    <w:p>
      <w:pPr>
        <w:pStyle w:val="TextBody"/>
        <w:bidi w:val="0"/>
        <w:spacing w:before="120" w:after="283"/>
        <w:jc w:val="both"/>
        <w:rPr/>
      </w:pPr>
      <w:r>
        <w:rPr/>
      </w:r>
    </w:p>
    <w:tbl>
      <w:tblPr>
        <w:tblW w:w="7088" w:type="dxa"/>
        <w:jc w:val="left"/>
        <w:tblInd w:w="0" w:type="dxa"/>
        <w:tblLayout w:type="fixed"/>
        <w:tblCellMar>
          <w:top w:w="28" w:type="dxa"/>
          <w:left w:w="28" w:type="dxa"/>
          <w:bottom w:w="28" w:type="dxa"/>
          <w:right w:w="28" w:type="dxa"/>
        </w:tblCellMar>
      </w:tblPr>
      <w:tblGrid>
        <w:gridCol w:w="124"/>
        <w:gridCol w:w="109"/>
        <w:gridCol w:w="109"/>
        <w:gridCol w:w="1214"/>
        <w:gridCol w:w="1214"/>
        <w:gridCol w:w="121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Street,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17111 Waterview Pkwy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Acme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Adams Rite Aerospace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Adams Rite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AeroControlex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Aerosonic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Acquisition,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Canada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NJ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Pension Trust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UK Parent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Materials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Aviation (Chongqing),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Bridport (Kunshan)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Bridport (Private)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Sri Lanka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Bridport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Global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Global Services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Sri Lanka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Angus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Apical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ARA Holding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Arkwin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TNO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Defense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Ashford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32" w:type="dxa"/>
        <w:jc w:val="left"/>
        <w:tblInd w:w="0" w:type="dxa"/>
        <w:tblLayout w:type="fixed"/>
        <w:tblCellMar>
          <w:top w:w="28" w:type="dxa"/>
          <w:left w:w="28" w:type="dxa"/>
          <w:bottom w:w="28" w:type="dxa"/>
          <w:right w:w="28" w:type="dxa"/>
        </w:tblCellMar>
      </w:tblPr>
      <w:tblGrid>
        <w:gridCol w:w="124"/>
        <w:gridCol w:w="109"/>
        <w:gridCol w:w="109"/>
        <w:gridCol w:w="1228"/>
        <w:gridCol w:w="1228"/>
        <w:gridCol w:w="1233"/>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 Instruments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Avionics Specialties,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AvtechTyee,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 Transformer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 Transformer Technology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Breeze-Eastern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Erie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Bridport-Air Carrier,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ASE Portugal,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JETS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Technology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CDA InterCorp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CEF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Champion Aerospace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CTS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Defence Communications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Defense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 Electronics Aurora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 Electronics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EDB Intermediate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Electron Device Business,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TMD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Darchem Engineering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Darchem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Buyer,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Helicopter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687" w:type="dxa"/>
        <w:jc w:val="left"/>
        <w:tblInd w:w="0" w:type="dxa"/>
        <w:tblLayout w:type="fixed"/>
        <w:tblCellMar>
          <w:top w:w="28" w:type="dxa"/>
          <w:left w:w="28" w:type="dxa"/>
          <w:bottom w:w="28" w:type="dxa"/>
          <w:right w:w="28" w:type="dxa"/>
        </w:tblCellMar>
      </w:tblPr>
      <w:tblGrid>
        <w:gridCol w:w="124"/>
        <w:gridCol w:w="109"/>
        <w:gridCol w:w="109"/>
        <w:gridCol w:w="1413"/>
        <w:gridCol w:w="1413"/>
        <w:gridCol w:w="1418"/>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TopCo,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DDC Electronics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DDC Electronics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DDC Elektronik,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Dukes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Electromech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Elektro-Metall Export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Elektro-Metall Paks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Hungary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 Defence Company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Acquisition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do Brasil Assessoria e Intermediação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Europe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International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Europe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Global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SGIP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Unlimited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Antennas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FPT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F.P.T. Industries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HarcoSemco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Hartwell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Heli Tech,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Hytek Finishes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Iceman Holdco,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ILC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 Aerospace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IrvinGQ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IrvinGQ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Janco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Johnson Liverpool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 Nutronics,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Kirkhill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Korry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Kunshan Shield Restraint Systems,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Holding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Asia-Pacific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Hong Kong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73" w:type="dxa"/>
        <w:jc w:val="left"/>
        <w:tblInd w:w="0" w:type="dxa"/>
        <w:tblLayout w:type="fixed"/>
        <w:tblCellMar>
          <w:top w:w="28" w:type="dxa"/>
          <w:left w:w="28" w:type="dxa"/>
          <w:bottom w:w="28" w:type="dxa"/>
          <w:right w:w="28" w:type="dxa"/>
        </w:tblCellMar>
      </w:tblPr>
      <w:tblGrid>
        <w:gridCol w:w="124"/>
        <w:gridCol w:w="109"/>
        <w:gridCol w:w="109"/>
        <w:gridCol w:w="1309"/>
        <w:gridCol w:w="1309"/>
        <w:gridCol w:w="1312"/>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Europe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Mexico S. de R. L. de C. 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Technology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MarathonNorco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Mason Electric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(Europe)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DE,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Mecanismos de Matamoros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Medtherm Labs,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Microwave Power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 Seattle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NMC Aerospace,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NMC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Asia Pacific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Asia 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(Kunshan)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Norway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Overseas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Aero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Offshore Helicopter Support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Oppenheimer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Palomar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Paravion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Pexco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PneuDraulics,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Device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Pressure Systems International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Asia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SEI Industries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Semco Instruments,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373" w:type="dxa"/>
        <w:jc w:val="left"/>
        <w:tblInd w:w="0" w:type="dxa"/>
        <w:tblLayout w:type="fixed"/>
        <w:tblCellMar>
          <w:top w:w="28" w:type="dxa"/>
          <w:left w:w="28" w:type="dxa"/>
          <w:bottom w:w="28" w:type="dxa"/>
          <w:right w:w="28" w:type="dxa"/>
        </w:tblCellMar>
      </w:tblPr>
      <w:tblGrid>
        <w:gridCol w:w="124"/>
        <w:gridCol w:w="109"/>
        <w:gridCol w:w="109"/>
        <w:gridCol w:w="1309"/>
        <w:gridCol w:w="1309"/>
        <w:gridCol w:w="1312"/>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Sensor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(Pvt)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Sri Lanka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Signal Processing Matamoros S.A.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Simplex Manufacturing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Skandia,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Skurka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Electronics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Symetrics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 Aerospace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 Mfg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Tactair Fluid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Dart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ESL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France Ultimate Parent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TEAC Aerospace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International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Management Services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TestVonics,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Rotronics,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TMD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TMD Technologies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Canada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European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Ireland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Microwave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Receivables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Technologies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Transicoil (Malaysia) Sendirian Berhad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Transicoil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Wallop Defence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Weston Aerospace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Whippany Actuation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XCEL Power Systems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Young &amp; Franklin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spacing w:before="0" w:after="0"/>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22.1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LISTING OF SUBSIDIARY GUARANTORS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series of senior subordinated and secured notes issued by TransDigm Inc., a wholly owned subsidiary of TransDigm Group Incorporated, are unconditionally guaranteed, on a joint and several basis, by TransDigm Group Incorporated and each of the subsidiaries listed below under “Subsidiary Guarantors.”</w:t>
      </w:r>
    </w:p>
    <w:tbl>
      <w:tblPr>
        <w:tblW w:w="6011" w:type="dxa"/>
        <w:jc w:val="left"/>
        <w:tblInd w:w="0" w:type="dxa"/>
        <w:tblLayout w:type="fixed"/>
        <w:tblCellMar>
          <w:top w:w="28" w:type="dxa"/>
          <w:left w:w="28" w:type="dxa"/>
          <w:bottom w:w="28" w:type="dxa"/>
          <w:right w:w="28" w:type="dxa"/>
        </w:tblCellMar>
      </w:tblPr>
      <w:tblGrid>
        <w:gridCol w:w="124"/>
        <w:gridCol w:w="109"/>
        <w:gridCol w:w="109"/>
        <w:gridCol w:w="1656"/>
        <w:gridCol w:w="1656"/>
        <w:gridCol w:w="23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secured notes due 2028 (“2028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4.625% senior subordinated notes due 2029 (“4.625%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secured notes due 2029 (“2029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4.875% senior subordinated notes due 2029 (“4.875% 2029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6.875% senior secured notes due 2030 (“2030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7.125% senior secured notes due 2031 (“2031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secured notes due 2032 (“2032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6.000% senior secured notes due 2033 (“2033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subordinated notes due 2033 (“6.375% 2033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6.250% senior secured notes due 2034 (“2034 Secured Notes”)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6.750% senior subordinated notes due 2034 (“6.750% 2034 Notes”)</w:t>
            </w:r>
          </w:p>
        </w:tc>
      </w:tr>
    </w:tbl>
    <w:tbl>
      <w:tblPr>
        <w:tblW w:w="7072" w:type="dxa"/>
        <w:jc w:val="left"/>
        <w:tblInd w:w="0" w:type="dxa"/>
        <w:tblLayout w:type="fixed"/>
        <w:tblCellMar>
          <w:top w:w="28" w:type="dxa"/>
          <w:left w:w="28" w:type="dxa"/>
          <w:bottom w:w="28" w:type="dxa"/>
          <w:right w:w="28" w:type="dxa"/>
        </w:tblCellMar>
      </w:tblPr>
      <w:tblGrid>
        <w:gridCol w:w="124"/>
        <w:gridCol w:w="109"/>
        <w:gridCol w:w="109"/>
        <w:gridCol w:w="1209"/>
        <w:gridCol w:w="1209"/>
        <w:gridCol w:w="1211"/>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4455 Genesee Street,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17111 Waterview Pkwy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Acme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Adams Rite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AeroControlex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Aerosonic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Acquisition,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Global,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CA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Airborne Systems North America of NJ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Global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AmSafe,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Angus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Apical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Arkwin Industries,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Countermeasures TNO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Armtec Defense Products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Ashford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Auxitrol Weston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 Instruments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Avionics Specialties,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AvtechTyee,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668" w:type="dxa"/>
        <w:jc w:val="left"/>
        <w:tblInd w:w="0" w:type="dxa"/>
        <w:tblLayout w:type="fixed"/>
        <w:tblCellMar>
          <w:top w:w="28" w:type="dxa"/>
          <w:left w:w="28" w:type="dxa"/>
          <w:bottom w:w="28" w:type="dxa"/>
          <w:right w:w="28" w:type="dxa"/>
        </w:tblCellMar>
      </w:tblPr>
      <w:tblGrid>
        <w:gridCol w:w="124"/>
        <w:gridCol w:w="109"/>
        <w:gridCol w:w="109"/>
        <w:gridCol w:w="1074"/>
        <w:gridCol w:w="1074"/>
        <w:gridCol w:w="107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Beta Transformer Technology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Breeze-Eastern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Erie Aviation,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Bridport-Air Carrier,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Bruce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Facilities,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Air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ASE Portugal,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JETS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Technology Acquisition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Calspan,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CDA InterCorp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CEF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Champion Aerospace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Avionics,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Chelton Defense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CMC Electronics Aurora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EDB Intermediate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CPI Electron Device Business,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CTHC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Aerospace USA,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Buyer,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Helicopter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Intermediate,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Dart TopCo,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Dukes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Electromech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Europe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International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Esterline Technologies SGIP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FPT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Genesee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HarcoSemco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Connecticut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Hartwell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Heli Tech,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Hytek Finishes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Iceman Holdco,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17" w:type="dxa"/>
        <w:jc w:val="left"/>
        <w:tblInd w:w="0" w:type="dxa"/>
        <w:tblLayout w:type="fixed"/>
        <w:tblCellMar>
          <w:top w:w="28" w:type="dxa"/>
          <w:left w:w="28" w:type="dxa"/>
          <w:bottom w:w="28" w:type="dxa"/>
          <w:right w:w="28" w:type="dxa"/>
        </w:tblCellMar>
      </w:tblPr>
      <w:tblGrid>
        <w:gridCol w:w="124"/>
        <w:gridCol w:w="109"/>
        <w:gridCol w:w="109"/>
        <w:gridCol w:w="1224"/>
        <w:gridCol w:w="1224"/>
        <w:gridCol w:w="1226"/>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ILC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Janco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Johnson Liverpool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King Nutronics,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Kirkhill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Korry Electronics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Holding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International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Leach Technology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MarathonNorco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Mason Electric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DE,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McKechnie Aerospace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Medtherm Labs,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Microwave Power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 Seattle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NMC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Nordisk Aviation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Corp.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Hills Signal Processing Overseas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Norwich Aero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Offshore Helicopter Support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Louisiana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Oppenheimer Precision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Pennsylvania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Palomar Products,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Paravion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Colorado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Pexco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PneuDraulics,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Device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HoldCo,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Raptor Labs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Schneller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Semco Instruments,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Sensor Concepts,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Shield Restraint 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Simplex Manufacturing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Oregon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Skandia,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Illinois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Skurka Aerospace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 Electronics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Symetrics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Florida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 Aerospace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Tactair Fluid Controls,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TDG ESL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488" w:type="dxa"/>
        <w:jc w:val="left"/>
        <w:tblInd w:w="0" w:type="dxa"/>
        <w:tblLayout w:type="fixed"/>
        <w:tblCellMar>
          <w:top w:w="28" w:type="dxa"/>
          <w:left w:w="28" w:type="dxa"/>
          <w:bottom w:w="28" w:type="dxa"/>
          <w:right w:w="28" w:type="dxa"/>
        </w:tblCellMar>
      </w:tblPr>
      <w:tblGrid>
        <w:gridCol w:w="124"/>
        <w:gridCol w:w="109"/>
        <w:gridCol w:w="109"/>
        <w:gridCol w:w="1014"/>
        <w:gridCol w:w="1014"/>
        <w:gridCol w:w="1017"/>
        <w:gridCol w:w="109"/>
        <w:gridCol w:w="109"/>
        <w:gridCol w:w="109"/>
        <w:gridCol w:w="811"/>
        <w:gridCol w:w="811"/>
        <w:gridCol w:w="11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Subsidiary Guarantors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Jurisdiction of</w:t>
            </w:r>
          </w:p>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Incorporation or Organization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TEAC Aerospace Technologies,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Telair US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TestVonics,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Hampshire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 Rotronics,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TransDigm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Transicoil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Whippany Actuation Systems,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Young &amp; Franklin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consent to the incorporation by reference in the following Registration Statements: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(Form S-8 No. 333-269621) pertaining to the TransDigm Group Incorporated 2019 Stock Option Plan;</w:t>
            </w:r>
          </w:p>
        </w:tc>
      </w:tr>
    </w:tbl>
    <w:tbl>
      <w:tblPr>
        <w:tblW w:w="9581" w:type="dxa"/>
        <w:jc w:val="left"/>
        <w:tblInd w:w="0" w:type="dxa"/>
        <w:tblLayout w:type="fixed"/>
        <w:tblCellMar>
          <w:top w:w="28" w:type="dxa"/>
          <w:left w:w="28" w:type="dxa"/>
          <w:bottom w:w="28" w:type="dxa"/>
          <w:right w:w="28" w:type="dxa"/>
        </w:tblCellMar>
      </w:tblPr>
      <w:tblGrid>
        <w:gridCol w:w="124"/>
        <w:gridCol w:w="109"/>
        <w:gridCol w:w="109"/>
        <w:gridCol w:w="2701"/>
        <w:gridCol w:w="2701"/>
        <w:gridCol w:w="38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23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(Form S-8 No. 333-200204) pertaining to the TransDigm Group 2014 Stock Option Plan;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Statements (Form S-8 No. 333-174122 and Form S-8 No. 333-152847) pertaining to the TransDigm Group Incorporated 2006 Stock Incentive Plan;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Registration Statement (Form S-8 No. 333-132808) pertaining to the TransDigm Group Incorporated 2006 Stock Incentive Plan and the TransDigm Group Fourth Amended and Restated 2003 Stock Option Plan, as amended; </w:t>
            </w:r>
          </w:p>
        </w:tc>
      </w:tr>
    </w:tbl>
    <w:p>
      <w:pPr>
        <w:pStyle w:val="TextBody"/>
        <w:bidi w:val="0"/>
        <w:spacing w:lineRule="auto" w:line="288" w:before="0" w:after="0"/>
        <w:jc w:val="left"/>
        <w:rPr>
          <w:color w:val="000000"/>
        </w:rPr>
      </w:pPr>
      <w:r>
        <w:rPr>
          <w:color w:val="000000"/>
        </w:rPr>
        <w:t>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our reports dated November 12, 2025, with respect to the consolidated financial statements and schedule of TransDigm Group Incorporated and the effectiveness of internal control over financial reporting of TransDigm Group Incorporated included in this Annual Report (Form 10-K) of TransDigm Group Incorporated for the fiscal year ended September 30, 2025.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/s/ Ernst &amp; Young LLP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Cleveland, Ohio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November 12,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Michael Lisman,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tbl>
      <w:tblPr>
        <w:tblW w:w="4470" w:type="dxa"/>
        <w:jc w:val="right"/>
        <w:tblInd w:w="0" w:type="dxa"/>
        <w:tblLayout w:type="fixed"/>
        <w:tblCellMar>
          <w:top w:w="28" w:type="dxa"/>
          <w:left w:w="28" w:type="dxa"/>
          <w:bottom w:w="28" w:type="dxa"/>
          <w:right w:w="28" w:type="dxa"/>
        </w:tblCellMar>
      </w:tblPr>
      <w:tblGrid>
        <w:gridCol w:w="1430"/>
        <w:gridCol w:w="1253"/>
        <w:gridCol w:w="178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4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Chief Executive Officer and Director</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Sarah Wynne, certify that: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TransDigm Group Incorporated;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TransDigm Group Incorporated (the “Company”) for the fiscal year ended September 30, 2025 as filed with the Securities and Exchange Commission on the date hereof (the “Report”), I, Michael Lisman, President, Chief Executive Officer and Director (Principal Executive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p>
      <w:pPr>
        <w:pStyle w:val="TextBody"/>
        <w:bidi w:val="0"/>
        <w:spacing w:lineRule="auto" w:line="288" w:before="0" w:after="0"/>
        <w:jc w:val="left"/>
        <w:rPr>
          <w:color w:val="000000"/>
        </w:rPr>
      </w:pPr>
      <w:r>
        <w:rPr>
          <w:color w:val="000000"/>
        </w:rPr>
        <w:t> </w:t>
      </w:r>
    </w:p>
    <w:tbl>
      <w:tblPr>
        <w:tblW w:w="4470" w:type="dxa"/>
        <w:jc w:val="right"/>
        <w:tblInd w:w="0" w:type="dxa"/>
        <w:tblLayout w:type="fixed"/>
        <w:tblCellMar>
          <w:top w:w="28" w:type="dxa"/>
          <w:left w:w="28" w:type="dxa"/>
          <w:bottom w:w="28" w:type="dxa"/>
          <w:right w:w="28" w:type="dxa"/>
        </w:tblCellMar>
      </w:tblPr>
      <w:tblGrid>
        <w:gridCol w:w="1430"/>
        <w:gridCol w:w="1253"/>
        <w:gridCol w:w="1787"/>
      </w:tblGrid>
      <w:tr>
        <w:trP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Lisman</w:t>
            </w:r>
          </w:p>
        </w:tc>
      </w:tr>
      <w:tr>
        <w:trPr/>
        <w:tc>
          <w:tcPr>
            <w:tcW w:w="4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Lisman</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President, Chief Executive Officer and Director</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TransDigm Group Incorporated (the “Company”) for the fiscal year ended September 30, 2025 as filed with the Securities and Exchange Commission on the date hereof (the “Report”), I, Sarah Wynne, Chief Financial Officer (Principal Financial Officer), certify, pursuant to 18 U.S.C. Section 1350, as adopted pursuant to Section 906 of the Sarbanes-Oxley Act of 2002, that, to my knowledge:</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and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indicated and results of operations of the Company for the periods indicated.</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November 12, 2025 </w:t>
      </w:r>
    </w:p>
    <w:p>
      <w:pPr>
        <w:pStyle w:val="TextBody"/>
        <w:bidi w:val="0"/>
        <w:spacing w:lineRule="auto" w:line="288" w:before="0" w:after="0"/>
        <w:jc w:val="left"/>
        <w:rPr>
          <w:color w:val="000000"/>
        </w:rPr>
      </w:pPr>
      <w:r>
        <w:rPr>
          <w:color w:val="000000"/>
        </w:rPr>
        <w:t> </w:t>
      </w:r>
    </w:p>
    <w:tbl>
      <w:tblPr>
        <w:tblW w:w="2520" w:type="dxa"/>
        <w:jc w:val="right"/>
        <w:tblInd w:w="0" w:type="dxa"/>
        <w:tblLayout w:type="fixed"/>
        <w:tblCellMar>
          <w:top w:w="28" w:type="dxa"/>
          <w:left w:w="28" w:type="dxa"/>
          <w:bottom w:w="28" w:type="dxa"/>
          <w:right w:w="28" w:type="dxa"/>
        </w:tblCellMar>
      </w:tblPr>
      <w:tblGrid>
        <w:gridCol w:w="805"/>
        <w:gridCol w:w="708"/>
        <w:gridCol w:w="1007"/>
      </w:tblGrid>
      <w:tr>
        <w:trPr/>
        <w:tc>
          <w:tcPr>
            <w:tcW w:w="80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Wynne</w:t>
            </w:r>
          </w:p>
        </w:tc>
      </w:tr>
      <w:tr>
        <w:trPr/>
        <w:tc>
          <w:tcPr>
            <w:tcW w:w="2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Sarah Wynne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0221/000119312514163517/d716424dex31.htm" TargetMode="External"/><Relationship Id="rId4" Type="http://schemas.openxmlformats.org/officeDocument/2006/relationships/hyperlink" Target="https://www.sec.gov/Archives/edgar/data/1260221/000119312514163517/d716424dex31.htm" TargetMode="External"/><Relationship Id="rId5" Type="http://schemas.openxmlformats.org/officeDocument/2006/relationships/hyperlink" Target="https://www.sec.gov/Archives/edgar/data/1260221/000126022118000010/ex31tdgthirdamendedandrest.htm" TargetMode="External"/><Relationship Id="rId6" Type="http://schemas.openxmlformats.org/officeDocument/2006/relationships/hyperlink" Target="https://www.sec.gov/Archives/edgar/data/1260221/000126022118000010/ex31tdgthirdamendedandrest.htm" TargetMode="External"/><Relationship Id="rId7" Type="http://schemas.openxmlformats.org/officeDocument/2006/relationships/hyperlink" Target="https://www.sec.gov/Archives/edgar/data/1260221/000104746906003232/a2168356zex-4_1.htm" TargetMode="External"/><Relationship Id="rId8" Type="http://schemas.openxmlformats.org/officeDocument/2006/relationships/hyperlink" Target="https://www.sec.gov/Archives/edgar/data/1260221/000104746906003232/a2168356zex-4_1.htm" TargetMode="External"/><Relationship Id="rId9" Type="http://schemas.openxmlformats.org/officeDocument/2006/relationships/hyperlink" Target="https://www.sec.gov/Archives/edgar/data/1260221/000119312521012416/d115625dex41.htm" TargetMode="External"/><Relationship Id="rId10" Type="http://schemas.openxmlformats.org/officeDocument/2006/relationships/hyperlink" Target="https://www.sec.gov/Archives/edgar/data/1260221/000119312521012416/d115625dex41.htm" TargetMode="External"/><Relationship Id="rId11" Type="http://schemas.openxmlformats.org/officeDocument/2006/relationships/hyperlink" Target="https://www.sec.gov/Archives/edgar/data/1260221/000119312521012416/d115625dex41.htm" TargetMode="External"/><Relationship Id="rId12" Type="http://schemas.openxmlformats.org/officeDocument/2006/relationships/hyperlink" Target="https://www.sec.gov/Archives/edgar/data/1260221/000119312521124723/d105152dex41.htm" TargetMode="External"/><Relationship Id="rId13" Type="http://schemas.openxmlformats.org/officeDocument/2006/relationships/hyperlink" Target="https://www.sec.gov/Archives/edgar/data/1260221/000119312521124723/d105152dex41.htm" TargetMode="External"/><Relationship Id="rId14" Type="http://schemas.openxmlformats.org/officeDocument/2006/relationships/hyperlink" Target="https://www.sec.gov/Archives/edgar/data/1260221/000119312521124723/d105152dex41.htm" TargetMode="External"/><Relationship Id="rId15" Type="http://schemas.openxmlformats.org/officeDocument/2006/relationships/hyperlink" Target="https://www.sec.gov/Archives/edgar/data/1260221/000119312523049006/d450769dex41.htm" TargetMode="External"/><Relationship Id="rId16" Type="http://schemas.openxmlformats.org/officeDocument/2006/relationships/hyperlink" Target="https://www.sec.gov/Archives/edgar/data/1260221/000119312523049006/d450769dex41.htm" TargetMode="External"/><Relationship Id="rId17" Type="http://schemas.openxmlformats.org/officeDocument/2006/relationships/hyperlink" Target="https://www.sec.gov/Archives/edgar/data/1260221/000119312523049006/d450769dex41.htm" TargetMode="External"/><Relationship Id="rId18" Type="http://schemas.openxmlformats.org/officeDocument/2006/relationships/hyperlink" Target="https://www.sec.gov/Archives/edgar/data/1260221/000119312523066095/d676638dex43.htm" TargetMode="External"/><Relationship Id="rId19" Type="http://schemas.openxmlformats.org/officeDocument/2006/relationships/hyperlink" Target="https://www.sec.gov/Archives/edgar/data/1260221/000119312523066095/d676638dex43.htm" TargetMode="External"/><Relationship Id="rId20" Type="http://schemas.openxmlformats.org/officeDocument/2006/relationships/hyperlink" Target="https://www.sec.gov/Archives/edgar/data/1260221/000119312523066095/d676638dex43.htm" TargetMode="External"/><Relationship Id="rId21" Type="http://schemas.openxmlformats.org/officeDocument/2006/relationships/hyperlink" Target="https://www.sec.gov/Archives/edgar/data/1260221/000119312523215952/d512194dex41.htm" TargetMode="External"/><Relationship Id="rId22" Type="http://schemas.openxmlformats.org/officeDocument/2006/relationships/hyperlink" Target="https://www.sec.gov/Archives/edgar/data/1260221/000119312523215952/d512194dex41.htm" TargetMode="External"/><Relationship Id="rId23" Type="http://schemas.openxmlformats.org/officeDocument/2006/relationships/hyperlink" Target="https://www.sec.gov/Archives/edgar/data/1260221/000119312523215952/d512194dex41.htm" TargetMode="External"/><Relationship Id="rId24" Type="http://schemas.openxmlformats.org/officeDocument/2006/relationships/hyperlink" Target="https://www.sec.gov/Archives/edgar/data/1260221/000119312523284319/d261654dex41.htm" TargetMode="External"/><Relationship Id="rId25" Type="http://schemas.openxmlformats.org/officeDocument/2006/relationships/hyperlink" Target="https://www.sec.gov/Archives/edgar/data/1260221/000119312523284319/d261654dex41.htm" TargetMode="External"/><Relationship Id="rId26" Type="http://schemas.openxmlformats.org/officeDocument/2006/relationships/hyperlink" Target="https://www.sec.gov/Archives/edgar/data/1260221/000119312523284319/d261654dex41.htm" TargetMode="External"/><Relationship Id="rId27" Type="http://schemas.openxmlformats.org/officeDocument/2006/relationships/hyperlink" Target="https://www.sec.gov/Archives/edgar/data/1260221/000119312524050713/d775821dex41.htm" TargetMode="External"/><Relationship Id="rId28" Type="http://schemas.openxmlformats.org/officeDocument/2006/relationships/hyperlink" Target="https://www.sec.gov/Archives/edgar/data/1260221/000119312524050713/d775821dex41.htm" TargetMode="External"/><Relationship Id="rId29" Type="http://schemas.openxmlformats.org/officeDocument/2006/relationships/hyperlink" Target="https://www.sec.gov/Archives/edgar/data/1260221/000119312524050713/d775821dex41.htm" TargetMode="External"/><Relationship Id="rId30" Type="http://schemas.openxmlformats.org/officeDocument/2006/relationships/hyperlink" Target="https://www.sec.gov/Archives/edgar/data/1260221/000119312524050713/d775821dex43.htm" TargetMode="External"/><Relationship Id="rId31" Type="http://schemas.openxmlformats.org/officeDocument/2006/relationships/hyperlink" Target="https://www.sec.gov/Archives/edgar/data/1260221/000119312524050713/d775821dex43.htm" TargetMode="External"/><Relationship Id="rId32" Type="http://schemas.openxmlformats.org/officeDocument/2006/relationships/hyperlink" Target="https://www.sec.gov/Archives/edgar/data/1260221/000119312524050713/d775821dex43.htm" TargetMode="External"/><Relationship Id="rId33" Type="http://schemas.openxmlformats.org/officeDocument/2006/relationships/hyperlink" Target="https://www.sec.gov/Archives/edgar/data/1260221/000119312524075251/d828207dex43.htm" TargetMode="External"/><Relationship Id="rId34" Type="http://schemas.openxmlformats.org/officeDocument/2006/relationships/hyperlink" Target="https://www.sec.gov/Archives/edgar/data/1260221/000119312524075251/d828207dex43.htm" TargetMode="External"/><Relationship Id="rId35" Type="http://schemas.openxmlformats.org/officeDocument/2006/relationships/hyperlink" Target="https://www.sec.gov/Archives/edgar/data/1260221/000119312524075251/d828207dex43.htm" TargetMode="External"/><Relationship Id="rId36" Type="http://schemas.openxmlformats.org/officeDocument/2006/relationships/hyperlink" Target="https://www.sec.gov/Archives/edgar/data/1260221/000119312524222468/d887611dex41.htm" TargetMode="External"/><Relationship Id="rId37" Type="http://schemas.openxmlformats.org/officeDocument/2006/relationships/hyperlink" Target="https://www.sec.gov/Archives/edgar/data/1260221/000119312524222468/d887611dex41.htm" TargetMode="External"/><Relationship Id="rId38" Type="http://schemas.openxmlformats.org/officeDocument/2006/relationships/hyperlink" Target="https://www.sec.gov/Archives/edgar/data/1260221/000119312524222468/d887611dex41.htm" TargetMode="External"/><Relationship Id="rId39" Type="http://schemas.openxmlformats.org/officeDocument/2006/relationships/hyperlink" Target="https://www.sec.gov/Archives/edgar/data/1260221/000119312525123144/d43283dex41.htm" TargetMode="External"/><Relationship Id="rId40" Type="http://schemas.openxmlformats.org/officeDocument/2006/relationships/hyperlink" Target="https://www.sec.gov/Archives/edgar/data/1260221/000119312525123144/d43283dex41.htm" TargetMode="External"/><Relationship Id="rId41" Type="http://schemas.openxmlformats.org/officeDocument/2006/relationships/hyperlink" Target="https://www.sec.gov/Archives/edgar/data/1260221/000119312525123144/d43283dex41.htm" TargetMode="External"/><Relationship Id="rId42" Type="http://schemas.openxmlformats.org/officeDocument/2006/relationships/hyperlink" Target="https://www.sec.gov/Archives/edgar/data/1260221/000119312525183753/d49796dex41.htm" TargetMode="External"/><Relationship Id="rId43" Type="http://schemas.openxmlformats.org/officeDocument/2006/relationships/hyperlink" Target="https://www.sec.gov/Archives/edgar/data/1260221/000119312525183753/d49796dex41.htm" TargetMode="External"/><Relationship Id="rId44" Type="http://schemas.openxmlformats.org/officeDocument/2006/relationships/hyperlink" Target="https://www.sec.gov/Archives/edgar/data/1260221/000119312525183753/d49796dex41.htm" TargetMode="External"/><Relationship Id="rId45" Type="http://schemas.openxmlformats.org/officeDocument/2006/relationships/hyperlink" Target="https://www.sec.gov/Archives/edgar/data/1260221/000119312525183753/d49796dex43.htm" TargetMode="External"/><Relationship Id="rId46" Type="http://schemas.openxmlformats.org/officeDocument/2006/relationships/hyperlink" Target="https://www.sec.gov/Archives/edgar/data/1260221/000119312525183753/d49796dex43.htm" TargetMode="External"/><Relationship Id="rId47" Type="http://schemas.openxmlformats.org/officeDocument/2006/relationships/hyperlink" Target="https://www.sec.gov/Archives/edgar/data/1260221/000119312525183753/d49796dex43.htm" TargetMode="External"/><Relationship Id="rId48" Type="http://schemas.openxmlformats.org/officeDocument/2006/relationships/hyperlink" Target="https://www.sec.gov/Archives/edgar/data/1260221/000126022119000043/exhibit410formofsupple.htm" TargetMode="External"/><Relationship Id="rId49" Type="http://schemas.openxmlformats.org/officeDocument/2006/relationships/hyperlink" Target="https://www.sec.gov/Archives/edgar/data/1260221/000126022119000043/exhibit410formofsupple.htm" TargetMode="External"/><Relationship Id="rId50" Type="http://schemas.openxmlformats.org/officeDocument/2006/relationships/hyperlink" Target="https://www.sec.gov/Archives/edgar/data/1260221/000126022119000043/exhibit410formofsupple.htm" TargetMode="External"/><Relationship Id="rId51" Type="http://schemas.openxmlformats.org/officeDocument/2006/relationships/hyperlink" Target="https://www.sec.gov/Archives/edgar/data/1260221/000119312521012416/d115625dex41.htm" TargetMode="External"/><Relationship Id="rId52" Type="http://schemas.openxmlformats.org/officeDocument/2006/relationships/hyperlink" Target="https://www.sec.gov/Archives/edgar/data/1260221/000119312521012416/d115625dex41.htm" TargetMode="External"/><Relationship Id="rId53" Type="http://schemas.openxmlformats.org/officeDocument/2006/relationships/hyperlink" Target="https://www.sec.gov/Archives/edgar/data/1260221/000119312521012416/d115625dex41.htm" TargetMode="External"/><Relationship Id="rId54" Type="http://schemas.openxmlformats.org/officeDocument/2006/relationships/hyperlink" Target="https://www.sec.gov/Archives/edgar/data/1260221/000119312521124723/d105152dex41.htm" TargetMode="External"/><Relationship Id="rId55" Type="http://schemas.openxmlformats.org/officeDocument/2006/relationships/hyperlink" Target="https://www.sec.gov/Archives/edgar/data/1260221/000119312521124723/d105152dex41.htm" TargetMode="External"/><Relationship Id="rId56" Type="http://schemas.openxmlformats.org/officeDocument/2006/relationships/hyperlink" Target="https://www.sec.gov/Archives/edgar/data/1260221/000119312521124723/d105152dex41.htm" TargetMode="External"/><Relationship Id="rId57" Type="http://schemas.openxmlformats.org/officeDocument/2006/relationships/hyperlink" Target="https://www.sec.gov/Archives/edgar/data/1260221/000119312523049006/d450769dex41.htm" TargetMode="External"/><Relationship Id="rId58" Type="http://schemas.openxmlformats.org/officeDocument/2006/relationships/hyperlink" Target="https://www.sec.gov/Archives/edgar/data/1260221/000119312523049006/d450769dex41.htm" TargetMode="External"/><Relationship Id="rId59" Type="http://schemas.openxmlformats.org/officeDocument/2006/relationships/hyperlink" Target="https://www.sec.gov/Archives/edgar/data/1260221/000119312523049006/d450769dex41.htm" TargetMode="External"/><Relationship Id="rId60" Type="http://schemas.openxmlformats.org/officeDocument/2006/relationships/hyperlink" Target="https://www.sec.gov/Archives/edgar/data/1260221/000119312523215952/d512194dex41.htm" TargetMode="External"/><Relationship Id="rId61" Type="http://schemas.openxmlformats.org/officeDocument/2006/relationships/hyperlink" Target="https://www.sec.gov/Archives/edgar/data/1260221/000119312523215952/d512194dex41.htm" TargetMode="External"/><Relationship Id="rId62" Type="http://schemas.openxmlformats.org/officeDocument/2006/relationships/hyperlink" Target="https://www.sec.gov/Archives/edgar/data/1260221/000119312523215952/d512194dex41.htm" TargetMode="External"/><Relationship Id="rId63" Type="http://schemas.openxmlformats.org/officeDocument/2006/relationships/hyperlink" Target="https://www.sec.gov/Archives/edgar/data/1260221/000119312523284319/d261654dex41.htm" TargetMode="External"/><Relationship Id="rId64" Type="http://schemas.openxmlformats.org/officeDocument/2006/relationships/hyperlink" Target="https://www.sec.gov/Archives/edgar/data/1260221/000119312523284319/d261654dex41.htm" TargetMode="External"/><Relationship Id="rId65" Type="http://schemas.openxmlformats.org/officeDocument/2006/relationships/hyperlink" Target="https://www.sec.gov/Archives/edgar/data/1260221/000119312523284319/d261654dex41.htm" TargetMode="External"/><Relationship Id="rId66" Type="http://schemas.openxmlformats.org/officeDocument/2006/relationships/hyperlink" Target="https://www.sec.gov/Archives/edgar/data/1260221/000119312523284319/d261654dex41.htm" TargetMode="External"/><Relationship Id="rId67" Type="http://schemas.openxmlformats.org/officeDocument/2006/relationships/hyperlink" Target="https://www.sec.gov/Archives/edgar/data/1260221/000119312524050713/d775821dex41.htm" TargetMode="External"/><Relationship Id="rId68" Type="http://schemas.openxmlformats.org/officeDocument/2006/relationships/hyperlink" Target="https://www.sec.gov/Archives/edgar/data/1260221/000119312524050713/d775821dex41.htm" TargetMode="External"/><Relationship Id="rId69" Type="http://schemas.openxmlformats.org/officeDocument/2006/relationships/hyperlink" Target="https://www.sec.gov/Archives/edgar/data/1260221/000119312524050713/d775821dex41.htm" TargetMode="External"/><Relationship Id="rId70" Type="http://schemas.openxmlformats.org/officeDocument/2006/relationships/hyperlink" Target="https://www.sec.gov/Archives/edgar/data/1260221/000119312524050713/d775821dex43.htm" TargetMode="External"/><Relationship Id="rId71" Type="http://schemas.openxmlformats.org/officeDocument/2006/relationships/hyperlink" Target="https://www.sec.gov/Archives/edgar/data/1260221/000119312524050713/d775821dex43.htm" TargetMode="External"/><Relationship Id="rId72" Type="http://schemas.openxmlformats.org/officeDocument/2006/relationships/hyperlink" Target="https://www.sec.gov/Archives/edgar/data/1260221/000119312524050713/d775821dex43.htm" TargetMode="External"/><Relationship Id="rId73" Type="http://schemas.openxmlformats.org/officeDocument/2006/relationships/hyperlink" Target="https://www.sec.gov/Archives/edgar/data/1260221/000119312524075251/d828207dex43.htm" TargetMode="External"/><Relationship Id="rId74" Type="http://schemas.openxmlformats.org/officeDocument/2006/relationships/hyperlink" Target="https://www.sec.gov/Archives/edgar/data/1260221/000119312524075251/d828207dex43.htm" TargetMode="External"/><Relationship Id="rId75" Type="http://schemas.openxmlformats.org/officeDocument/2006/relationships/hyperlink" Target="https://www.sec.gov/Archives/edgar/data/1260221/000119312524075251/d828207dex43.htm" TargetMode="External"/><Relationship Id="rId76" Type="http://schemas.openxmlformats.org/officeDocument/2006/relationships/hyperlink" Target="https://www.sec.gov/Archives/edgar/data/1260221/000119312524222468/d887611dex41.htm" TargetMode="External"/><Relationship Id="rId77" Type="http://schemas.openxmlformats.org/officeDocument/2006/relationships/hyperlink" Target="https://www.sec.gov/Archives/edgar/data/1260221/000119312524222468/d887611dex41.htm" TargetMode="External"/><Relationship Id="rId78" Type="http://schemas.openxmlformats.org/officeDocument/2006/relationships/hyperlink" Target="https://www.sec.gov/Archives/edgar/data/1260221/000119312524222468/d887611dex41.htm" TargetMode="External"/><Relationship Id="rId79" Type="http://schemas.openxmlformats.org/officeDocument/2006/relationships/hyperlink" Target="https://www.sec.gov/Archives/edgar/data/1260221/000119312525123144/d43283dex41.htm" TargetMode="External"/><Relationship Id="rId80" Type="http://schemas.openxmlformats.org/officeDocument/2006/relationships/hyperlink" Target="https://www.sec.gov/Archives/edgar/data/1260221/000119312525123144/d43283dex41.htm" TargetMode="External"/><Relationship Id="rId81" Type="http://schemas.openxmlformats.org/officeDocument/2006/relationships/hyperlink" Target="https://www.sec.gov/Archives/edgar/data/1260221/000119312525123144/d43283dex41.htm" TargetMode="External"/><Relationship Id="rId82" Type="http://schemas.openxmlformats.org/officeDocument/2006/relationships/hyperlink" Target="https://www.sec.gov/Archives/edgar/data/1260221/000119312525123144/d43283dex41.htm" TargetMode="External"/><Relationship Id="rId83" Type="http://schemas.openxmlformats.org/officeDocument/2006/relationships/hyperlink" Target="https://www.sec.gov/Archives/edgar/data/1260221/000119312525183753/d49796dex41.htm" TargetMode="External"/><Relationship Id="rId84" Type="http://schemas.openxmlformats.org/officeDocument/2006/relationships/hyperlink" Target="https://www.sec.gov/Archives/edgar/data/1260221/000119312525183753/d49796dex41.htm" TargetMode="External"/><Relationship Id="rId85" Type="http://schemas.openxmlformats.org/officeDocument/2006/relationships/hyperlink" Target="https://www.sec.gov/Archives/edgar/data/1260221/000119312525183753/d49796dex41.htm" TargetMode="External"/><Relationship Id="rId86" Type="http://schemas.openxmlformats.org/officeDocument/2006/relationships/hyperlink" Target="https://www.sec.gov/Archives/edgar/data/1260221/000119312525183753/d49796dex41.htm" TargetMode="External"/><Relationship Id="rId87" Type="http://schemas.openxmlformats.org/officeDocument/2006/relationships/hyperlink" Target="https://www.sec.gov/Archives/edgar/data/1260221/000119312525183753/d49796dex43.htm" TargetMode="External"/><Relationship Id="rId88" Type="http://schemas.openxmlformats.org/officeDocument/2006/relationships/hyperlink" Target="https://www.sec.gov/Archives/edgar/data/1260221/000119312525183753/d49796dex43.htm" TargetMode="External"/><Relationship Id="rId89" Type="http://schemas.openxmlformats.org/officeDocument/2006/relationships/hyperlink" Target="https://www.sec.gov/Archives/edgar/data/1260221/000119312525183753/d49796dex43.htm" TargetMode="External"/><Relationship Id="rId90" Type="http://schemas.openxmlformats.org/officeDocument/2006/relationships/hyperlink" Target="https://www.sec.gov/Archives/edgar/data/1260221/000119312525183753/d49796dex43.htm" TargetMode="External"/><Relationship Id="rId91" Type="http://schemas.openxmlformats.org/officeDocument/2006/relationships/hyperlink" Target="https://www.sec.gov/Archives/edgar/data/1260221/000126022119000043/exhibit419descriptiono.htm" TargetMode="External"/><Relationship Id="rId92" Type="http://schemas.openxmlformats.org/officeDocument/2006/relationships/hyperlink" Target="https://www.sec.gov/Archives/edgar/data/1260221/000126022119000043/exhibit419descriptiono.htm" TargetMode="External"/><Relationship Id="rId93" Type="http://schemas.openxmlformats.org/officeDocument/2006/relationships/hyperlink" Target="https://www.sec.gov/Archives/edgar/data/1260221/000126022119000043/exhibit419descriptiono.htm" TargetMode="External"/><Relationship Id="rId94" Type="http://schemas.openxmlformats.org/officeDocument/2006/relationships/hyperlink" Target="https://www.sec.gov/Archives/edgar/data/1260221/000126022121000103/exhibit101-optionagreement.htm" TargetMode="External"/><Relationship Id="rId95" Type="http://schemas.openxmlformats.org/officeDocument/2006/relationships/hyperlink" Target="https://www.sec.gov/Archives/edgar/data/1260221/000126022121000103/exhibit101-optionagreement.htm" TargetMode="External"/><Relationship Id="rId96" Type="http://schemas.openxmlformats.org/officeDocument/2006/relationships/hyperlink" Target="https://www.sec.gov/Archives/edgar/data/1260221/000126022123000081/exhibit106employmentagreem.htm" TargetMode="External"/><Relationship Id="rId97" Type="http://schemas.openxmlformats.org/officeDocument/2006/relationships/hyperlink" Target="https://www.sec.gov/Archives/edgar/data/1260221/000126022123000081/exhibit106employmentagreem.htm" TargetMode="External"/><Relationship Id="rId98" Type="http://schemas.openxmlformats.org/officeDocument/2006/relationships/hyperlink" Target="https://www.sec.gov/Archives/edgar/data/1260221/000126022123000081/exhibit106employmentagreem.htm" TargetMode="External"/><Relationship Id="rId99" Type="http://schemas.openxmlformats.org/officeDocument/2006/relationships/hyperlink" Target="https://www.sec.gov/Archives/edgar/data/1260221/000126022125000061/exhibit101amendedandrestat.htm" TargetMode="External"/><Relationship Id="rId100" Type="http://schemas.openxmlformats.org/officeDocument/2006/relationships/hyperlink" Target="https://www.sec.gov/Archives/edgar/data/1260221/000126022125000061/exhibit101amendedandrestat.htm" TargetMode="External"/><Relationship Id="rId101" Type="http://schemas.openxmlformats.org/officeDocument/2006/relationships/hyperlink" Target="https://www.sec.gov/Archives/edgar/data/1260221/000126022123000081/exhibit1011employmentagree.htm" TargetMode="External"/><Relationship Id="rId102" Type="http://schemas.openxmlformats.org/officeDocument/2006/relationships/hyperlink" Target="https://www.sec.gov/Archives/edgar/data/1260221/000126022123000081/exhibit1011employmentagree.htm" TargetMode="External"/><Relationship Id="rId103" Type="http://schemas.openxmlformats.org/officeDocument/2006/relationships/hyperlink" Target="https://www.sec.gov/Archives/edgar/data/1260221/000126022123000081/exhibit1011employmentagree.htm" TargetMode="External"/><Relationship Id="rId104" Type="http://schemas.openxmlformats.org/officeDocument/2006/relationships/hyperlink" Target="https://www.sec.gov/Archives/edgar/data/1260221/000126022123000081/exhibit1014employmentagree.htm" TargetMode="External"/><Relationship Id="rId105" Type="http://schemas.openxmlformats.org/officeDocument/2006/relationships/hyperlink" Target="https://www.sec.gov/Archives/edgar/data/1260221/000126022123000081/exhibit1014employmentagree.htm" TargetMode="External"/><Relationship Id="rId106" Type="http://schemas.openxmlformats.org/officeDocument/2006/relationships/hyperlink" Target="https://www.sec.gov/Archives/edgar/data/1260221/000126022123000081/exhibit1014employmentagree.htm" TargetMode="External"/><Relationship Id="rId107" Type="http://schemas.openxmlformats.org/officeDocument/2006/relationships/hyperlink" Target="https://www.sec.gov/Archives/edgar/data/1260221/000126022125000063/exhibit101consultingagreem.htm" TargetMode="External"/><Relationship Id="rId108" Type="http://schemas.openxmlformats.org/officeDocument/2006/relationships/hyperlink" Target="https://www.sec.gov/Archives/edgar/data/1260221/000126022125000063/exhibit101consultingagreem.htm" TargetMode="External"/><Relationship Id="rId109" Type="http://schemas.openxmlformats.org/officeDocument/2006/relationships/hyperlink" Target="https://www.sec.gov/Archives/edgar/data/1260221/000126022125000063/exhibit101consultingagreem.htm" TargetMode="External"/><Relationship Id="rId110" Type="http://schemas.openxmlformats.org/officeDocument/2006/relationships/hyperlink" Target="https://www.sec.gov/Archives/edgar/data/1260221/000104746906003232/a2168356zex-10_16.htm" TargetMode="External"/><Relationship Id="rId111" Type="http://schemas.openxmlformats.org/officeDocument/2006/relationships/hyperlink" Target="https://www.sec.gov/Archives/edgar/data/1260221/000104746906003232/a2168356zex-10_16.htm" TargetMode="External"/><Relationship Id="rId112" Type="http://schemas.openxmlformats.org/officeDocument/2006/relationships/hyperlink" Target="https://www.sec.gov/Archives/edgar/data/1260221/000104746906003232/a2168356zex-10_16.htm" TargetMode="External"/><Relationship Id="rId113" Type="http://schemas.openxmlformats.org/officeDocument/2006/relationships/hyperlink" Target="https://www.sec.gov/Archives/edgar/data/1077670/000104746906013683/a2173955zex-10_18.htm" TargetMode="External"/><Relationship Id="rId114" Type="http://schemas.openxmlformats.org/officeDocument/2006/relationships/hyperlink" Target="https://www.sec.gov/Archives/edgar/data/1077670/000104746906013683/a2173955zex-10_18.htm" TargetMode="External"/><Relationship Id="rId115" Type="http://schemas.openxmlformats.org/officeDocument/2006/relationships/hyperlink" Target="https://www.sec.gov/Archives/edgar/data/1077670/000104746906013683/a2173955zex-10_18.htm" TargetMode="External"/><Relationship Id="rId116" Type="http://schemas.openxmlformats.org/officeDocument/2006/relationships/hyperlink" Target="https://www.sec.gov/Archives/edgar/data/1260221/000119312508129224/ddef14a.htm" TargetMode="External"/><Relationship Id="rId117" Type="http://schemas.openxmlformats.org/officeDocument/2006/relationships/hyperlink" Target="https://www.sec.gov/Archives/edgar/data/1260221/000119312508129224/ddef14a.htm" TargetMode="External"/><Relationship Id="rId118" Type="http://schemas.openxmlformats.org/officeDocument/2006/relationships/hyperlink" Target="https://www.sec.gov/Archives/edgar/data/1260221/000119312508129224/ddef14a.htm" TargetMode="External"/><Relationship Id="rId119" Type="http://schemas.openxmlformats.org/officeDocument/2006/relationships/hyperlink" Target="https://www.sec.gov/Archives/edgar/data/1260221/000126022119000034/exhibit1012014stockopt.htm" TargetMode="External"/><Relationship Id="rId120" Type="http://schemas.openxmlformats.org/officeDocument/2006/relationships/hyperlink" Target="https://www.sec.gov/Archives/edgar/data/1260221/000126022119000034/exhibit1012014stockopt.htm" TargetMode="External"/><Relationship Id="rId121" Type="http://schemas.openxmlformats.org/officeDocument/2006/relationships/hyperlink" Target="https://www.sec.gov/Archives/edgar/data/1260221/000126022119000034/exhibit1012014stockopt.htm" TargetMode="External"/><Relationship Id="rId122" Type="http://schemas.openxmlformats.org/officeDocument/2006/relationships/hyperlink" Target="https://www.sec.gov/Archives/edgar/data/1260221/000126022119000038/exhibit1012019stockopt.htm" TargetMode="External"/><Relationship Id="rId123" Type="http://schemas.openxmlformats.org/officeDocument/2006/relationships/hyperlink" Target="https://www.sec.gov/Archives/edgar/data/1260221/000126022119000038/exhibit1012019stockopt.htm" TargetMode="External"/><Relationship Id="rId124" Type="http://schemas.openxmlformats.org/officeDocument/2006/relationships/hyperlink" Target="https://www.sec.gov/Archives/edgar/data/1260221/000126022119000038/exhibit1012019stockopt.htm" TargetMode="External"/><Relationship Id="rId125" Type="http://schemas.openxmlformats.org/officeDocument/2006/relationships/hyperlink" Target="https://www.sec.gov/Archives/edgar/data/1260221/000126022123000081/exhibit10242019stockoption.htm" TargetMode="External"/><Relationship Id="rId126" Type="http://schemas.openxmlformats.org/officeDocument/2006/relationships/hyperlink" Target="https://www.sec.gov/Archives/edgar/data/1260221/000126022123000081/exhibit10242019stockoption.htm" TargetMode="External"/><Relationship Id="rId127" Type="http://schemas.openxmlformats.org/officeDocument/2006/relationships/hyperlink" Target="https://www.sec.gov/Archives/edgar/data/1260221/000126022123000081/exhibit10242019stockoption.htm" TargetMode="External"/><Relationship Id="rId128" Type="http://schemas.openxmlformats.org/officeDocument/2006/relationships/hyperlink" Target="https://www.sec.gov/Archives/edgar/data/1260221/000126022116000045/exhibit1011tdg2016q1.htm" TargetMode="External"/><Relationship Id="rId129" Type="http://schemas.openxmlformats.org/officeDocument/2006/relationships/hyperlink" Target="https://www.sec.gov/Archives/edgar/data/1260221/000126022116000045/exhibit1011tdg2016q1.htm" TargetMode="External"/><Relationship Id="rId130" Type="http://schemas.openxmlformats.org/officeDocument/2006/relationships/hyperlink" Target="https://www.sec.gov/Archives/edgar/data/1260221/000126022116000045/exhibit1011tdg2016q1.htm" TargetMode="External"/><Relationship Id="rId131" Type="http://schemas.openxmlformats.org/officeDocument/2006/relationships/hyperlink" Target="https://www.sec.gov/Archives/edgar/data/1260221/000126022120000099/exhibit10272020-09x301.htm" TargetMode="External"/><Relationship Id="rId132" Type="http://schemas.openxmlformats.org/officeDocument/2006/relationships/hyperlink" Target="https://www.sec.gov/Archives/edgar/data/1260221/000126022120000099/exhibit10272020-09x301.htm" TargetMode="External"/><Relationship Id="rId133" Type="http://schemas.openxmlformats.org/officeDocument/2006/relationships/hyperlink" Target="https://www.sec.gov/Archives/edgar/data/1260221/000126022120000099/exhibit10272020-09x301.htm" TargetMode="External"/><Relationship Id="rId134" Type="http://schemas.openxmlformats.org/officeDocument/2006/relationships/hyperlink" Target="https://www.sec.gov/Archives/edgar/data/1260221/000126022121000134/exhibit1027tdg2021q410-k.htm" TargetMode="External"/><Relationship Id="rId135" Type="http://schemas.openxmlformats.org/officeDocument/2006/relationships/hyperlink" Target="https://www.sec.gov/Archives/edgar/data/1260221/000126022121000134/exhibit1027tdg2021q410-k.htm" TargetMode="External"/><Relationship Id="rId136" Type="http://schemas.openxmlformats.org/officeDocument/2006/relationships/hyperlink" Target="https://www.sec.gov/Archives/edgar/data/1260221/000126022121000134/exhibit1027tdg2021q410-k.htm" TargetMode="External"/><Relationship Id="rId137" Type="http://schemas.openxmlformats.org/officeDocument/2006/relationships/hyperlink" Target="https://www.sec.gov/Archives/edgar/data/1260221/000126022122000065/exhibit1024tdg202210-k.htm" TargetMode="External"/><Relationship Id="rId138" Type="http://schemas.openxmlformats.org/officeDocument/2006/relationships/hyperlink" Target="https://www.sec.gov/Archives/edgar/data/1260221/000126022122000065/exhibit1024tdg202210-k.htm" TargetMode="External"/><Relationship Id="rId139" Type="http://schemas.openxmlformats.org/officeDocument/2006/relationships/hyperlink" Target="https://www.sec.gov/Archives/edgar/data/1260221/000126022122000065/exhibit1024tdg202210-k.htm" TargetMode="External"/><Relationship Id="rId140" Type="http://schemas.openxmlformats.org/officeDocument/2006/relationships/hyperlink" Target="https://www.sec.gov/Archives/edgar/data/1260221/000126022123000081/exhibit1031formofstockopti.htm" TargetMode="External"/><Relationship Id="rId141" Type="http://schemas.openxmlformats.org/officeDocument/2006/relationships/hyperlink" Target="https://www.sec.gov/Archives/edgar/data/1260221/000126022123000081/exhibit1031formofstockopti.htm" TargetMode="External"/><Relationship Id="rId142" Type="http://schemas.openxmlformats.org/officeDocument/2006/relationships/hyperlink" Target="https://www.sec.gov/Archives/edgar/data/1260221/000126022123000081/exhibit1031formofstockopti.htm" TargetMode="External"/><Relationship Id="rId143" Type="http://schemas.openxmlformats.org/officeDocument/2006/relationships/hyperlink" Target="https://www.sec.gov/Archives/edgar/data/1260221/000126022123000081/exhibit1032formofstockopti.htm" TargetMode="External"/><Relationship Id="rId144" Type="http://schemas.openxmlformats.org/officeDocument/2006/relationships/hyperlink" Target="https://www.sec.gov/Archives/edgar/data/1260221/000126022123000081/exhibit1032formofstockopti.htm" TargetMode="External"/><Relationship Id="rId145" Type="http://schemas.openxmlformats.org/officeDocument/2006/relationships/hyperlink" Target="https://www.sec.gov/Archives/edgar/data/1260221/000126022123000081/exhibit1032formofstockopti.htm" TargetMode="External"/><Relationship Id="rId146" Type="http://schemas.openxmlformats.org/officeDocument/2006/relationships/hyperlink" Target="https://www.sec.gov/Archives/edgar/data/1260221/000126022124000083/exhibit1025formofstockopti.htm" TargetMode="External"/><Relationship Id="rId147" Type="http://schemas.openxmlformats.org/officeDocument/2006/relationships/hyperlink" Target="https://www.sec.gov/Archives/edgar/data/1260221/000126022124000083/exhibit1025formofstockopti.htm" TargetMode="External"/><Relationship Id="rId148" Type="http://schemas.openxmlformats.org/officeDocument/2006/relationships/hyperlink" Target="https://www.sec.gov/Archives/edgar/data/1260221/000126022124000083/exhibit1026formofstockopti.htm" TargetMode="External"/><Relationship Id="rId149" Type="http://schemas.openxmlformats.org/officeDocument/2006/relationships/hyperlink" Target="https://www.sec.gov/Archives/edgar/data/1260221/000126022124000083/exhibit1026formofstockopti.htm" TargetMode="External"/><Relationship Id="rId150" Type="http://schemas.openxmlformats.org/officeDocument/2006/relationships/hyperlink" Target="https://www.sec.gov/Archives/edgar/data/1260221/000126022122000053/exhibit101fourthamendedand.htm" TargetMode="External"/><Relationship Id="rId151" Type="http://schemas.openxmlformats.org/officeDocument/2006/relationships/hyperlink" Target="https://www.sec.gov/Archives/edgar/data/1260221/000126022122000053/exhibit101fourthamendedand.htm" TargetMode="External"/><Relationship Id="rId152" Type="http://schemas.openxmlformats.org/officeDocument/2006/relationships/hyperlink" Target="https://www.sec.gov/Archives/edgar/data/1260221/000126022122000053/exhibit101fourthamendedand.htm" TargetMode="External"/><Relationship Id="rId153" Type="http://schemas.openxmlformats.org/officeDocument/2006/relationships/hyperlink" Target="https://www.sec.gov/Archives/edgar/data/1260221/000126022122000065/exhibit1026tdg202210-k.htm" TargetMode="External"/><Relationship Id="rId154" Type="http://schemas.openxmlformats.org/officeDocument/2006/relationships/hyperlink" Target="https://www.sec.gov/Archives/edgar/data/1260221/000126022122000065/exhibit1026tdg202210-k.htm" TargetMode="External"/><Relationship Id="rId155" Type="http://schemas.openxmlformats.org/officeDocument/2006/relationships/hyperlink" Target="https://www.sec.gov/Archives/edgar/data/1260221/000126022122000065/exhibit1026tdg202210-k.htm" TargetMode="External"/><Relationship Id="rId156" Type="http://schemas.openxmlformats.org/officeDocument/2006/relationships/hyperlink" Target="https://www.sec.gov/Archives/edgar/data/1260221/000126022122000053/exhibit102amendedandrestat.htm" TargetMode="External"/><Relationship Id="rId157" Type="http://schemas.openxmlformats.org/officeDocument/2006/relationships/hyperlink" Target="https://www.sec.gov/Archives/edgar/data/1260221/000126022122000053/exhibit102amendedandrestat.htm" TargetMode="External"/><Relationship Id="rId158" Type="http://schemas.openxmlformats.org/officeDocument/2006/relationships/hyperlink" Target="https://www.sec.gov/Archives/edgar/data/1260221/000126022122000053/exhibit102amendedandrestat.htm" TargetMode="External"/><Relationship Id="rId159" Type="http://schemas.openxmlformats.org/officeDocument/2006/relationships/hyperlink" Target="https://www.sec.gov/Archives/edgar/data/1260221/000126022122000065/exhibit1028tdg202210-k.htm" TargetMode="External"/><Relationship Id="rId160" Type="http://schemas.openxmlformats.org/officeDocument/2006/relationships/hyperlink" Target="https://www.sec.gov/Archives/edgar/data/1260221/000126022122000065/exhibit1028tdg202210-k.htm" TargetMode="External"/><Relationship Id="rId161" Type="http://schemas.openxmlformats.org/officeDocument/2006/relationships/hyperlink" Target="https://www.sec.gov/Archives/edgar/data/1260221/000126022122000065/exhibit1028tdg202210-k.htm" TargetMode="External"/><Relationship Id="rId162" Type="http://schemas.openxmlformats.org/officeDocument/2006/relationships/hyperlink" Target="https://www.sec.gov/Archives/edgar/data/1260221/000126022122000065/exhibit1028tdg202210-k.htm" TargetMode="External"/><Relationship Id="rId163" Type="http://schemas.openxmlformats.org/officeDocument/2006/relationships/hyperlink" Target="https://www.sec.gov/Archives/edgar/data/1260221/000126022122000053/exhibit103formofamendmentt.htm" TargetMode="External"/><Relationship Id="rId164" Type="http://schemas.openxmlformats.org/officeDocument/2006/relationships/hyperlink" Target="https://www.sec.gov/Archives/edgar/data/1260221/000126022122000053/exhibit103formofamendmentt.htm" TargetMode="External"/><Relationship Id="rId165" Type="http://schemas.openxmlformats.org/officeDocument/2006/relationships/hyperlink" Target="https://www.sec.gov/Archives/edgar/data/1260221/000126022122000053/exhibit103formofamendmentt.htm" TargetMode="External"/><Relationship Id="rId166" Type="http://schemas.openxmlformats.org/officeDocument/2006/relationships/hyperlink" Target="https://www.sec.gov/Archives/edgar/data/1260221/000126022122000053/exhibit103formofamendmentt.htm" TargetMode="External"/><Relationship Id="rId167" Type="http://schemas.openxmlformats.org/officeDocument/2006/relationships/hyperlink" Target="https://www.sec.gov/Archives/edgar/data/1260221/000119312514228611/d739389dex101.htm" TargetMode="External"/><Relationship Id="rId168" Type="http://schemas.openxmlformats.org/officeDocument/2006/relationships/hyperlink" Target="https://www.sec.gov/Archives/edgar/data/1260221/000119312514228611/d739389dex101.htm" TargetMode="External"/><Relationship Id="rId169" Type="http://schemas.openxmlformats.org/officeDocument/2006/relationships/hyperlink" Target="https://www.sec.gov/Archives/edgar/data/1260221/000119312514228611/d739389dex101.htm" TargetMode="External"/><Relationship Id="rId170" Type="http://schemas.openxmlformats.org/officeDocument/2006/relationships/hyperlink" Target="https://www.sec.gov/Archives/edgar/data/1260221/000119312515193475/d928480dex101.htm" TargetMode="External"/><Relationship Id="rId171" Type="http://schemas.openxmlformats.org/officeDocument/2006/relationships/hyperlink" Target="https://www.sec.gov/Archives/edgar/data/1260221/000119312515193475/d928480dex101.htm" TargetMode="External"/><Relationship Id="rId172" Type="http://schemas.openxmlformats.org/officeDocument/2006/relationships/hyperlink" Target="https://www.sec.gov/Archives/edgar/data/1260221/000119312515193475/d928480dex101.htm" TargetMode="External"/><Relationship Id="rId173" Type="http://schemas.openxmlformats.org/officeDocument/2006/relationships/hyperlink" Target="https://www.sec.gov/Archives/edgar/data/1260221/000119312515201231/d932473dex101.htm" TargetMode="External"/><Relationship Id="rId174" Type="http://schemas.openxmlformats.org/officeDocument/2006/relationships/hyperlink" Target="https://www.sec.gov/Archives/edgar/data/1260221/000119312515201231/d932473dex101.htm" TargetMode="External"/><Relationship Id="rId175" Type="http://schemas.openxmlformats.org/officeDocument/2006/relationships/hyperlink" Target="https://www.sec.gov/Archives/edgar/data/1260221/000119312515201231/d932473dex101.htm" TargetMode="External"/><Relationship Id="rId176" Type="http://schemas.openxmlformats.org/officeDocument/2006/relationships/hyperlink" Target="https://www.sec.gov/Archives/edgar/data/1260221/000119312515201231/d932473dex102.htm" TargetMode="External"/><Relationship Id="rId177" Type="http://schemas.openxmlformats.org/officeDocument/2006/relationships/hyperlink" Target="https://www.sec.gov/Archives/edgar/data/1260221/000119312515201231/d932473dex102.htm" TargetMode="External"/><Relationship Id="rId178" Type="http://schemas.openxmlformats.org/officeDocument/2006/relationships/hyperlink" Target="https://www.sec.gov/Archives/edgar/data/1260221/000119312515201231/d932473dex102.htm" TargetMode="External"/><Relationship Id="rId179" Type="http://schemas.openxmlformats.org/officeDocument/2006/relationships/hyperlink" Target="https://www.sec.gov/Archives/edgar/data/1260221/000126022116000096/ex101tdgoctober2016-increm.htm" TargetMode="External"/><Relationship Id="rId180" Type="http://schemas.openxmlformats.org/officeDocument/2006/relationships/hyperlink" Target="https://www.sec.gov/Archives/edgar/data/1260221/000126022116000096/ex101tdgoctober2016-increm.htm" TargetMode="External"/><Relationship Id="rId181" Type="http://schemas.openxmlformats.org/officeDocument/2006/relationships/hyperlink" Target="https://www.sec.gov/Archives/edgar/data/1260221/000126022116000096/ex101tdgoctober2016-increm.htm" TargetMode="External"/><Relationship Id="rId182" Type="http://schemas.openxmlformats.org/officeDocument/2006/relationships/hyperlink" Target="https://www.sec.gov/Archives/edgar/data/1260221/000119312517074698/d310690dex101.htm" TargetMode="External"/><Relationship Id="rId183" Type="http://schemas.openxmlformats.org/officeDocument/2006/relationships/hyperlink" Target="https://www.sec.gov/Archives/edgar/data/1260221/000119312517074698/d310690dex101.htm" TargetMode="External"/><Relationship Id="rId184" Type="http://schemas.openxmlformats.org/officeDocument/2006/relationships/hyperlink" Target="https://www.sec.gov/Archives/edgar/data/1260221/000119312517074698/d310690dex101.htm" TargetMode="External"/><Relationship Id="rId185" Type="http://schemas.openxmlformats.org/officeDocument/2006/relationships/hyperlink" Target="https://www.sec.gov/Archives/edgar/data/1260221/000119312517266115/d415084dex101.htm" TargetMode="External"/><Relationship Id="rId186" Type="http://schemas.openxmlformats.org/officeDocument/2006/relationships/hyperlink" Target="https://www.sec.gov/Archives/edgar/data/1260221/000119312517266115/d415084dex101.htm" TargetMode="External"/><Relationship Id="rId187" Type="http://schemas.openxmlformats.org/officeDocument/2006/relationships/hyperlink" Target="https://www.sec.gov/Archives/edgar/data/1260221/000119312517266115/d415084dex101.htm" TargetMode="External"/><Relationship Id="rId188" Type="http://schemas.openxmlformats.org/officeDocument/2006/relationships/hyperlink" Target="https://www.sec.gov/Archives/edgar/data/1260221/000119312517362110/d471187dex101.htm" TargetMode="External"/><Relationship Id="rId189" Type="http://schemas.openxmlformats.org/officeDocument/2006/relationships/hyperlink" Target="https://www.sec.gov/Archives/edgar/data/1260221/000119312517362110/d471187dex101.htm" TargetMode="External"/><Relationship Id="rId190" Type="http://schemas.openxmlformats.org/officeDocument/2006/relationships/hyperlink" Target="https://www.sec.gov/Archives/edgar/data/1260221/000119312517362110/d471187dex101.htm" TargetMode="External"/><Relationship Id="rId191" Type="http://schemas.openxmlformats.org/officeDocument/2006/relationships/hyperlink" Target="https://www.sec.gov/Archives/edgar/data/1260221/000119312518054050/d543673dex101.htm" TargetMode="External"/><Relationship Id="rId192" Type="http://schemas.openxmlformats.org/officeDocument/2006/relationships/hyperlink" Target="https://www.sec.gov/Archives/edgar/data/1260221/000119312518054050/d543673dex101.htm" TargetMode="External"/><Relationship Id="rId193" Type="http://schemas.openxmlformats.org/officeDocument/2006/relationships/hyperlink" Target="https://www.sec.gov/Archives/edgar/data/1260221/000119312518054050/d543673dex101.htm" TargetMode="External"/><Relationship Id="rId194" Type="http://schemas.openxmlformats.org/officeDocument/2006/relationships/hyperlink" Target="https://www.sec.gov/Archives/edgar/data/1260221/000119312518054050/d543673dex101.htm" TargetMode="External"/><Relationship Id="rId195" Type="http://schemas.openxmlformats.org/officeDocument/2006/relationships/hyperlink" Target="https://www.sec.gov/Archives/edgar/data/1260221/000119312518180282/d493302dex101.htm" TargetMode="External"/><Relationship Id="rId196" Type="http://schemas.openxmlformats.org/officeDocument/2006/relationships/hyperlink" Target="https://www.sec.gov/Archives/edgar/data/1260221/000119312518180282/d493302dex101.htm" TargetMode="External"/><Relationship Id="rId197" Type="http://schemas.openxmlformats.org/officeDocument/2006/relationships/hyperlink" Target="https://www.sec.gov/Archives/edgar/data/1260221/000119312518180282/d493302dex101.htm" TargetMode="External"/><Relationship Id="rId198" Type="http://schemas.openxmlformats.org/officeDocument/2006/relationships/hyperlink" Target="https://www.sec.gov/Archives/edgar/data/1260221/000119312518180282/d493302dex101.htm" TargetMode="External"/><Relationship Id="rId199" Type="http://schemas.openxmlformats.org/officeDocument/2006/relationships/hyperlink" Target="https://www.sec.gov/Archives/edgar/data/1260221/000126022119000011/exhibit101amendno6tosecond.htm" TargetMode="External"/><Relationship Id="rId200" Type="http://schemas.openxmlformats.org/officeDocument/2006/relationships/hyperlink" Target="https://www.sec.gov/Archives/edgar/data/1260221/000126022119000011/exhibit101amendno6tosecond.htm" TargetMode="External"/><Relationship Id="rId201" Type="http://schemas.openxmlformats.org/officeDocument/2006/relationships/hyperlink" Target="https://www.sec.gov/Archives/edgar/data/1260221/000126022119000011/exhibit101amendno6tosecond.htm" TargetMode="External"/><Relationship Id="rId202" Type="http://schemas.openxmlformats.org/officeDocument/2006/relationships/hyperlink" Target="https://www.sec.gov/Archives/edgar/data/1260221/000119312520026375/d864933dex101.htm" TargetMode="External"/><Relationship Id="rId203" Type="http://schemas.openxmlformats.org/officeDocument/2006/relationships/hyperlink" Target="https://www.sec.gov/Archives/edgar/data/1260221/000119312520026375/d864933dex101.htm" TargetMode="External"/><Relationship Id="rId204" Type="http://schemas.openxmlformats.org/officeDocument/2006/relationships/hyperlink" Target="https://www.sec.gov/Archives/edgar/data/1260221/000119312520026375/d864933dex101.htm" TargetMode="External"/><Relationship Id="rId205" Type="http://schemas.openxmlformats.org/officeDocument/2006/relationships/hyperlink" Target="https://www.sec.gov/Archives/edgar/data/1260221/000119312521172301/d187369dex101.htm" TargetMode="External"/><Relationship Id="rId206" Type="http://schemas.openxmlformats.org/officeDocument/2006/relationships/hyperlink" Target="https://www.sec.gov/Archives/edgar/data/1260221/000119312521172301/d187369dex101.htm" TargetMode="External"/><Relationship Id="rId207" Type="http://schemas.openxmlformats.org/officeDocument/2006/relationships/hyperlink" Target="https://www.sec.gov/Archives/edgar/data/1260221/000119312521172301/d187369dex101.htm" TargetMode="External"/><Relationship Id="rId208" Type="http://schemas.openxmlformats.org/officeDocument/2006/relationships/hyperlink" Target="https://www.sec.gov/Archives/edgar/data/1260221/000126022121000142/exhibit101.htm" TargetMode="External"/><Relationship Id="rId209" Type="http://schemas.openxmlformats.org/officeDocument/2006/relationships/hyperlink" Target="https://www.sec.gov/Archives/edgar/data/1260221/000126022121000142/exhibit101.htm" TargetMode="External"/><Relationship Id="rId210" Type="http://schemas.openxmlformats.org/officeDocument/2006/relationships/hyperlink" Target="https://www.sec.gov/Archives/edgar/data/1260221/000126022121000142/exhibit101.htm" TargetMode="External"/><Relationship Id="rId211" Type="http://schemas.openxmlformats.org/officeDocument/2006/relationships/hyperlink" Target="https://www.sec.gov/Archives/edgar/data/1260221/000119312522304822/d433972dex101.htm" TargetMode="External"/><Relationship Id="rId212" Type="http://schemas.openxmlformats.org/officeDocument/2006/relationships/hyperlink" Target="https://www.sec.gov/Archives/edgar/data/1260221/000119312522304822/d433972dex101.htm" TargetMode="External"/><Relationship Id="rId213" Type="http://schemas.openxmlformats.org/officeDocument/2006/relationships/hyperlink" Target="https://www.sec.gov/Archives/edgar/data/1260221/000119312522304822/d433972dex101.htm" TargetMode="External"/><Relationship Id="rId214" Type="http://schemas.openxmlformats.org/officeDocument/2006/relationships/hyperlink" Target="https://www.sec.gov/Archives/edgar/data/1260221/000119312523049006/d450769dex101.htm" TargetMode="External"/><Relationship Id="rId215" Type="http://schemas.openxmlformats.org/officeDocument/2006/relationships/hyperlink" Target="https://www.sec.gov/Archives/edgar/data/1260221/000119312523049006/d450769dex101.htm" TargetMode="External"/><Relationship Id="rId216" Type="http://schemas.openxmlformats.org/officeDocument/2006/relationships/hyperlink" Target="https://www.sec.gov/Archives/edgar/data/1260221/000119312523049006/d450769dex101.htm" TargetMode="External"/><Relationship Id="rId217" Type="http://schemas.openxmlformats.org/officeDocument/2006/relationships/hyperlink" Target="https://www.sec.gov/Archives/edgar/data/1260221/000126022123000058/exhibit10212thamendmenttot.htm" TargetMode="External"/><Relationship Id="rId218" Type="http://schemas.openxmlformats.org/officeDocument/2006/relationships/hyperlink" Target="https://www.sec.gov/Archives/edgar/data/1260221/000126022123000058/exhibit10212thamendmenttot.htm" TargetMode="External"/><Relationship Id="rId219" Type="http://schemas.openxmlformats.org/officeDocument/2006/relationships/hyperlink" Target="https://www.sec.gov/Archives/edgar/data/1260221/000126022123000058/exhibit10212thamendmenttot.htm" TargetMode="External"/><Relationship Id="rId220" Type="http://schemas.openxmlformats.org/officeDocument/2006/relationships/hyperlink" Target="https://www.sec.gov/Archives/edgar/data/1260221/000119312523284319/d261654dex101.htm" TargetMode="External"/><Relationship Id="rId221" Type="http://schemas.openxmlformats.org/officeDocument/2006/relationships/hyperlink" Target="https://www.sec.gov/Archives/edgar/data/1260221/000119312523284319/d261654dex101.htm" TargetMode="External"/><Relationship Id="rId222" Type="http://schemas.openxmlformats.org/officeDocument/2006/relationships/hyperlink" Target="https://www.sec.gov/Archives/edgar/data/1260221/000119312523284319/d261654dex101.htm" TargetMode="External"/><Relationship Id="rId223" Type="http://schemas.openxmlformats.org/officeDocument/2006/relationships/hyperlink" Target="https://www.sec.gov/Archives/edgar/data/1260221/000119312524050713/d775821dex101.htm" TargetMode="External"/><Relationship Id="rId224" Type="http://schemas.openxmlformats.org/officeDocument/2006/relationships/hyperlink" Target="https://www.sec.gov/Archives/edgar/data/1260221/000119312524050713/d775821dex101.htm" TargetMode="External"/><Relationship Id="rId225" Type="http://schemas.openxmlformats.org/officeDocument/2006/relationships/hyperlink" Target="https://www.sec.gov/Archives/edgar/data/1260221/000119312524050713/d775821dex101.htm" TargetMode="External"/><Relationship Id="rId226" Type="http://schemas.openxmlformats.org/officeDocument/2006/relationships/hyperlink" Target="https://www.sec.gov/Archives/edgar/data/1260221/000119312524050713/d775821dex101.htm" TargetMode="External"/><Relationship Id="rId227" Type="http://schemas.openxmlformats.org/officeDocument/2006/relationships/hyperlink" Target="https://www.sec.gov/Archives/edgar/data/1260221/000119312524075251/d828207dex101.htm" TargetMode="External"/><Relationship Id="rId228" Type="http://schemas.openxmlformats.org/officeDocument/2006/relationships/hyperlink" Target="https://www.sec.gov/Archives/edgar/data/1260221/000119312524075251/d828207dex101.htm" TargetMode="External"/><Relationship Id="rId229" Type="http://schemas.openxmlformats.org/officeDocument/2006/relationships/hyperlink" Target="https://www.sec.gov/Archives/edgar/data/1260221/000119312524075251/d828207dex101.htm" TargetMode="External"/><Relationship Id="rId230" Type="http://schemas.openxmlformats.org/officeDocument/2006/relationships/hyperlink" Target="https://www.sec.gov/Archives/edgar/data/1260221/000119312524075251/d828207dex101.htm" TargetMode="External"/><Relationship Id="rId231" Type="http://schemas.openxmlformats.org/officeDocument/2006/relationships/hyperlink" Target="https://www.sec.gov/Archives/edgar/data/1260221/000119312524154269/d833756dex101.htm" TargetMode="External"/><Relationship Id="rId232" Type="http://schemas.openxmlformats.org/officeDocument/2006/relationships/hyperlink" Target="https://www.sec.gov/Archives/edgar/data/1260221/000119312524154269/d833756dex101.htm" TargetMode="External"/><Relationship Id="rId233" Type="http://schemas.openxmlformats.org/officeDocument/2006/relationships/hyperlink" Target="https://www.sec.gov/Archives/edgar/data/1260221/000119312524154269/d833756dex101.htm" TargetMode="External"/><Relationship Id="rId234" Type="http://schemas.openxmlformats.org/officeDocument/2006/relationships/hyperlink" Target="https://www.sec.gov/Archives/edgar/data/1260221/000119312524222468/d887611dex101.htm" TargetMode="External"/><Relationship Id="rId235" Type="http://schemas.openxmlformats.org/officeDocument/2006/relationships/hyperlink" Target="https://www.sec.gov/Archives/edgar/data/1260221/000119312524222468/d887611dex101.htm" TargetMode="External"/><Relationship Id="rId236" Type="http://schemas.openxmlformats.org/officeDocument/2006/relationships/hyperlink" Target="https://www.sec.gov/Archives/edgar/data/1260221/000119312524222468/d887611dex101.htm" TargetMode="External"/><Relationship Id="rId237" Type="http://schemas.openxmlformats.org/officeDocument/2006/relationships/hyperlink" Target="https://www.sec.gov/Archives/edgar/data/1260221/000119312525183753/d49796dex101.htm" TargetMode="External"/><Relationship Id="rId238" Type="http://schemas.openxmlformats.org/officeDocument/2006/relationships/hyperlink" Target="https://www.sec.gov/Archives/edgar/data/1260221/000119312525183753/d49796dex101.htm" TargetMode="External"/><Relationship Id="rId239" Type="http://schemas.openxmlformats.org/officeDocument/2006/relationships/hyperlink" Target="https://www.sec.gov/Archives/edgar/data/1260221/000119312525183753/d49796dex101.htm" TargetMode="External"/><Relationship Id="rId240" Type="http://schemas.openxmlformats.org/officeDocument/2006/relationships/hyperlink" Target="https://www.sec.gov/Archives/edgar/data/1260221/000119312513092159/d496141dex101.htm" TargetMode="External"/><Relationship Id="rId241" Type="http://schemas.openxmlformats.org/officeDocument/2006/relationships/hyperlink" Target="https://www.sec.gov/Archives/edgar/data/1260221/000119312513092159/d496141dex101.htm" TargetMode="External"/><Relationship Id="rId242" Type="http://schemas.openxmlformats.org/officeDocument/2006/relationships/hyperlink" Target="https://www.sec.gov/Archives/edgar/data/1260221/000119312513092159/d496141dex101.htm" TargetMode="External"/><Relationship Id="rId243" Type="http://schemas.openxmlformats.org/officeDocument/2006/relationships/hyperlink" Target="https://www.sec.gov/Archives/edgar/data/1260221/000119312514036175/d640363dex105.htm" TargetMode="External"/><Relationship Id="rId244" Type="http://schemas.openxmlformats.org/officeDocument/2006/relationships/hyperlink" Target="https://www.sec.gov/Archives/edgar/data/1260221/000119312514036175/d640363dex105.htm" TargetMode="External"/><Relationship Id="rId245" Type="http://schemas.openxmlformats.org/officeDocument/2006/relationships/hyperlink" Target="https://www.sec.gov/Archives/edgar/data/1260221/000119312514036175/d640363dex105.htm" TargetMode="External"/><Relationship Id="rId246" Type="http://schemas.openxmlformats.org/officeDocument/2006/relationships/hyperlink" Target="https://www.sec.gov/Archives/edgar/data/1260221/000126022115000013/exhibit1051firstamendmen.htm" TargetMode="External"/><Relationship Id="rId247" Type="http://schemas.openxmlformats.org/officeDocument/2006/relationships/hyperlink" Target="https://www.sec.gov/Archives/edgar/data/1260221/000126022115000013/exhibit1051firstamendmen.htm" TargetMode="External"/><Relationship Id="rId248" Type="http://schemas.openxmlformats.org/officeDocument/2006/relationships/hyperlink" Target="https://www.sec.gov/Archives/edgar/data/1260221/000126022115000013/exhibit1051firstamendmen.htm" TargetMode="External"/><Relationship Id="rId249" Type="http://schemas.openxmlformats.org/officeDocument/2006/relationships/hyperlink" Target="https://www.sec.gov/Archives/edgar/data/1260221/000126022115000013/exhibit1052secondamendme.htm" TargetMode="External"/><Relationship Id="rId250" Type="http://schemas.openxmlformats.org/officeDocument/2006/relationships/hyperlink" Target="https://www.sec.gov/Archives/edgar/data/1260221/000126022115000013/exhibit1052secondamendme.htm" TargetMode="External"/><Relationship Id="rId251" Type="http://schemas.openxmlformats.org/officeDocument/2006/relationships/hyperlink" Target="https://www.sec.gov/Archives/edgar/data/1260221/000126022115000013/exhibit1052secondamendme.htm" TargetMode="External"/><Relationship Id="rId252" Type="http://schemas.openxmlformats.org/officeDocument/2006/relationships/hyperlink" Target="https://www.sec.gov/Archives/edgar/data/1260221/000126022115000013/exhibit1053thirdamendmen.htm" TargetMode="External"/><Relationship Id="rId253" Type="http://schemas.openxmlformats.org/officeDocument/2006/relationships/hyperlink" Target="https://www.sec.gov/Archives/edgar/data/1260221/000126022115000013/exhibit1053thirdamendmen.htm" TargetMode="External"/><Relationship Id="rId254" Type="http://schemas.openxmlformats.org/officeDocument/2006/relationships/hyperlink" Target="https://www.sec.gov/Archives/edgar/data/1260221/000126022115000013/exhibit1053thirdamendmen.htm" TargetMode="External"/><Relationship Id="rId255" Type="http://schemas.openxmlformats.org/officeDocument/2006/relationships/hyperlink" Target="https://www.sec.gov/Archives/edgar/data/1260221/000119312515282912/d24949dex101.htm" TargetMode="External"/><Relationship Id="rId256" Type="http://schemas.openxmlformats.org/officeDocument/2006/relationships/hyperlink" Target="https://www.sec.gov/Archives/edgar/data/1260221/000119312515282912/d24949dex101.htm" TargetMode="External"/><Relationship Id="rId257" Type="http://schemas.openxmlformats.org/officeDocument/2006/relationships/hyperlink" Target="https://www.sec.gov/Archives/edgar/data/1260221/000119312515282912/d24949dex101.htm" TargetMode="External"/><Relationship Id="rId258" Type="http://schemas.openxmlformats.org/officeDocument/2006/relationships/hyperlink" Target="https://www.sec.gov/Archives/edgar/data/1260221/000126022117000060/exhibit1048.htm" TargetMode="External"/><Relationship Id="rId259" Type="http://schemas.openxmlformats.org/officeDocument/2006/relationships/hyperlink" Target="https://www.sec.gov/Archives/edgar/data/1260221/000126022117000060/exhibit1048.htm" TargetMode="External"/><Relationship Id="rId260" Type="http://schemas.openxmlformats.org/officeDocument/2006/relationships/hyperlink" Target="https://www.sec.gov/Archives/edgar/data/1260221/000126022117000060/exhibit1048.htm" TargetMode="External"/><Relationship Id="rId261" Type="http://schemas.openxmlformats.org/officeDocument/2006/relationships/hyperlink" Target="https://www.sec.gov/Archives/edgar/data/1260221/000126022117000060/exhibit1048.htm" TargetMode="External"/><Relationship Id="rId262" Type="http://schemas.openxmlformats.org/officeDocument/2006/relationships/hyperlink" Target="https://www.sec.gov/Archives/edgar/data/1260221/000126022118000051/exhibit104.htm" TargetMode="External"/><Relationship Id="rId263" Type="http://schemas.openxmlformats.org/officeDocument/2006/relationships/hyperlink" Target="https://www.sec.gov/Archives/edgar/data/1260221/000126022118000051/exhibit104.htm" TargetMode="External"/><Relationship Id="rId264" Type="http://schemas.openxmlformats.org/officeDocument/2006/relationships/hyperlink" Target="https://www.sec.gov/Archives/edgar/data/1260221/000126022118000051/exhibit104.htm" TargetMode="External"/><Relationship Id="rId265" Type="http://schemas.openxmlformats.org/officeDocument/2006/relationships/hyperlink" Target="https://www.sec.gov/Archives/edgar/data/1260221/000126022119000043/exhibit1049eleventhame.htm" TargetMode="External"/><Relationship Id="rId266" Type="http://schemas.openxmlformats.org/officeDocument/2006/relationships/hyperlink" Target="https://www.sec.gov/Archives/edgar/data/1260221/000126022119000043/exhibit1049eleventhame.htm" TargetMode="External"/><Relationship Id="rId267" Type="http://schemas.openxmlformats.org/officeDocument/2006/relationships/hyperlink" Target="https://www.sec.gov/Archives/edgar/data/1260221/000126022119000043/exhibit1049eleventhame.htm" TargetMode="External"/><Relationship Id="rId268" Type="http://schemas.openxmlformats.org/officeDocument/2006/relationships/hyperlink" Target="https://www.sec.gov/Archives/edgar/data/1260221/000126022120000099/exhibit10522020-09x301.htm" TargetMode="External"/><Relationship Id="rId269" Type="http://schemas.openxmlformats.org/officeDocument/2006/relationships/hyperlink" Target="https://www.sec.gov/Archives/edgar/data/1260221/000126022120000099/exhibit10522020-09x301.htm" TargetMode="External"/><Relationship Id="rId270" Type="http://schemas.openxmlformats.org/officeDocument/2006/relationships/hyperlink" Target="https://www.sec.gov/Archives/edgar/data/1260221/000126022120000099/exhibit10522020-09x301.htm" TargetMode="External"/><Relationship Id="rId271" Type="http://schemas.openxmlformats.org/officeDocument/2006/relationships/hyperlink" Target="https://www.sec.gov/Archives/edgar/data/1260221/000126022121000134/exhibit1054tdg2021q410-k.htm" TargetMode="External"/><Relationship Id="rId272" Type="http://schemas.openxmlformats.org/officeDocument/2006/relationships/hyperlink" Target="https://www.sec.gov/Archives/edgar/data/1260221/000126022121000134/exhibit1054tdg2021q410-k.htm" TargetMode="External"/><Relationship Id="rId273" Type="http://schemas.openxmlformats.org/officeDocument/2006/relationships/hyperlink" Target="https://www.sec.gov/Archives/edgar/data/1260221/000126022121000134/exhibit1054tdg2021q410-k.htm" TargetMode="External"/><Relationship Id="rId274" Type="http://schemas.openxmlformats.org/officeDocument/2006/relationships/hyperlink" Target="https://www.sec.gov/Archives/edgar/data/1260221/000126022122000065/exhibit1055tdg202210-k.htm" TargetMode="External"/><Relationship Id="rId275" Type="http://schemas.openxmlformats.org/officeDocument/2006/relationships/hyperlink" Target="https://www.sec.gov/Archives/edgar/data/1260221/000126022122000065/exhibit1055tdg202210-k.htm" TargetMode="External"/><Relationship Id="rId276" Type="http://schemas.openxmlformats.org/officeDocument/2006/relationships/hyperlink" Target="https://www.sec.gov/Archives/edgar/data/1260221/000126022122000065/exhibit1055tdg202210-k.htm" TargetMode="External"/><Relationship Id="rId277" Type="http://schemas.openxmlformats.org/officeDocument/2006/relationships/hyperlink" Target="https://www.sec.gov/Archives/edgar/data/1260221/000126022123000058/exhibit10115thamendmenttot.htm" TargetMode="External"/><Relationship Id="rId278" Type="http://schemas.openxmlformats.org/officeDocument/2006/relationships/hyperlink" Target="https://www.sec.gov/Archives/edgar/data/1260221/000126022123000058/exhibit10115thamendmenttot.htm" TargetMode="External"/><Relationship Id="rId279" Type="http://schemas.openxmlformats.org/officeDocument/2006/relationships/hyperlink" Target="https://www.sec.gov/Archives/edgar/data/1260221/000126022123000058/exhibit10115thamendmenttot.htm" TargetMode="External"/><Relationship Id="rId280" Type="http://schemas.openxmlformats.org/officeDocument/2006/relationships/hyperlink" Target="https://www.sec.gov/Archives/edgar/data/1260221/000126022124000083/exhibit1067sixteenthamendm.htm" TargetMode="External"/><Relationship Id="rId281" Type="http://schemas.openxmlformats.org/officeDocument/2006/relationships/hyperlink" Target="https://www.sec.gov/Archives/edgar/data/1260221/000126022124000083/exhibit1067sixteenthamendm.htm" TargetMode="External"/><Relationship Id="rId282" Type="http://schemas.openxmlformats.org/officeDocument/2006/relationships/hyperlink" Target="https://www.sec.gov/Archives/edgar/data/1260221/000126022124000083/exhibit1067sixteenthamendm.htm" TargetMode="External"/><Relationship Id="rId283" Type="http://schemas.openxmlformats.org/officeDocument/2006/relationships/hyperlink" Target="https://www.sec.gov/Archives/edgar/data/1260221/000126022124000069/exhibit101seventeenthamend.htm" TargetMode="External"/><Relationship Id="rId284" Type="http://schemas.openxmlformats.org/officeDocument/2006/relationships/hyperlink" Target="https://www.sec.gov/Archives/edgar/data/1260221/000126022124000069/exhibit101seventeenthamend.htm" TargetMode="External"/><Relationship Id="rId285" Type="http://schemas.openxmlformats.org/officeDocument/2006/relationships/hyperlink" Target="https://www.sec.gov/Archives/edgar/data/1260221/000126022124000069/exhibit101seventeenthamend.htm" TargetMode="External"/><Relationship Id="rId286" Type="http://schemas.openxmlformats.org/officeDocument/2006/relationships/hyperlink" Target="https://www.sec.gov/Archives/edgar/data/1260221/000126022125000051/exhibit101eighteenthamendm.htm" TargetMode="External"/><Relationship Id="rId287" Type="http://schemas.openxmlformats.org/officeDocument/2006/relationships/hyperlink" Target="https://www.sec.gov/Archives/edgar/data/1260221/000126022125000051/exhibit101eighteenthamendm.htm" TargetMode="External"/><Relationship Id="rId288" Type="http://schemas.openxmlformats.org/officeDocument/2006/relationships/hyperlink" Target="https://www.sec.gov/Archives/edgar/data/1260221/000126022125000051/exhibit101eighteenthamendm.htm" TargetMode="External"/><Relationship Id="rId289" Type="http://schemas.openxmlformats.org/officeDocument/2006/relationships/hyperlink" Target="https://www.sec.gov/Archives/edgar/data/1260221/000126022124000083/exhibit191amendedandrestat.htm" TargetMode="External"/><Relationship Id="rId290" Type="http://schemas.openxmlformats.org/officeDocument/2006/relationships/hyperlink" Target="https://www.sec.gov/Archives/edgar/data/1260221/000126022124000083/exhibit191amendedandrestat.htm" TargetMode="External"/><Relationship Id="rId291" Type="http://schemas.openxmlformats.org/officeDocument/2006/relationships/hyperlink" Target="https://www.sec.gov/Archives/edgar/data/1260221/000126022123000081/exhibit97transdigmgroupinc.htm" TargetMode="External"/><Relationship Id="rId292" Type="http://schemas.openxmlformats.org/officeDocument/2006/relationships/hyperlink" Target="https://www.sec.gov/Archives/edgar/data/1260221/000126022123000081/exhibit97transdigmgroupinc.htm" TargetMode="External"/><Relationship Id="rId293" Type="http://schemas.openxmlformats.org/officeDocument/2006/relationships/fontTable" Target="fontTable.xml"/><Relationship Id="rId29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82594</Words>
  <Characters>457541</Characters>
  <CharactersWithSpaces>536920</CharactersWithSpaces>
  <Paragraphs>6294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