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160" w:after="283"/>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28,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40"/>
        </w:rPr>
        <w:t>TransDigm Group Incorporated</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00" w:type="dxa"/>
        <w:jc w:val="center"/>
        <w:tblInd w:w="0" w:type="dxa"/>
        <w:tblLayout w:type="fixed"/>
        <w:tblCellMar>
          <w:top w:w="28" w:type="dxa"/>
          <w:left w:w="28" w:type="dxa"/>
          <w:bottom w:w="28" w:type="dxa"/>
          <w:right w:w="28" w:type="dxa"/>
        </w:tblCellMar>
      </w:tblPr>
      <w:tblGrid>
        <w:gridCol w:w="124"/>
        <w:gridCol w:w="109"/>
        <w:gridCol w:w="109"/>
        <w:gridCol w:w="682"/>
        <w:gridCol w:w="682"/>
        <w:gridCol w:w="690"/>
        <w:gridCol w:w="109"/>
        <w:gridCol w:w="109"/>
        <w:gridCol w:w="109"/>
        <w:gridCol w:w="379"/>
        <w:gridCol w:w="379"/>
        <w:gridCol w:w="381"/>
        <w:gridCol w:w="109"/>
        <w:gridCol w:w="109"/>
        <w:gridCol w:w="109"/>
        <w:gridCol w:w="479"/>
        <w:gridCol w:w="479"/>
        <w:gridCol w:w="4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001-32833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41-2101738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00"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307"/>
        <w:gridCol w:w="307"/>
        <w:gridCol w:w="435"/>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60"/>
              <w:jc w:val="both"/>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11" w:type="dxa"/>
        <w:jc w:val="center"/>
        <w:tblInd w:w="0" w:type="dxa"/>
        <w:tblLayout w:type="fixed"/>
        <w:tblCellMar>
          <w:top w:w="28" w:type="dxa"/>
          <w:left w:w="28" w:type="dxa"/>
          <w:bottom w:w="28" w:type="dxa"/>
          <w:right w:w="28" w:type="dxa"/>
        </w:tblCellMar>
      </w:tblPr>
      <w:tblGrid>
        <w:gridCol w:w="872"/>
        <w:gridCol w:w="766"/>
        <w:gridCol w:w="776"/>
        <w:gridCol w:w="109"/>
        <w:gridCol w:w="109"/>
        <w:gridCol w:w="109"/>
        <w:gridCol w:w="519"/>
        <w:gridCol w:w="519"/>
        <w:gridCol w:w="521"/>
        <w:gridCol w:w="109"/>
        <w:gridCol w:w="109"/>
        <w:gridCol w:w="109"/>
        <w:gridCol w:w="1135"/>
        <w:gridCol w:w="1135"/>
        <w:gridCol w:w="1614"/>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100"/>
        <w:jc w:val="both"/>
        <w:rPr/>
      </w:pPr>
      <w:r>
        <w:rPr>
          <w:rFonts w:ascii="Times New Roman;serif" w:hAnsi="Times New Roman;serif"/>
          <w:b w:val="false"/>
          <w:color w:val="000000"/>
          <w:sz w:val="18"/>
        </w:rPr>
        <w:t xml:space="preserve">Emerging Growth Company </w:t>
      </w:r>
      <w:r>
        <w:rPr>
          <w:color w:val="000000"/>
        </w:rPr>
        <w:t xml:space="preserve">☐ </w:t>
      </w:r>
    </w:p>
    <w:p>
      <w:pPr>
        <w:pStyle w:val="TextBody"/>
        <w:bidi w:val="0"/>
        <w:spacing w:lineRule="auto" w:line="288" w:before="60" w:after="18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264" w:type="dxa"/>
        <w:jc w:val="left"/>
        <w:tblInd w:w="0" w:type="dxa"/>
        <w:tblLayout w:type="fixed"/>
        <w:tblCellMar>
          <w:top w:w="28" w:type="dxa"/>
          <w:left w:w="28" w:type="dxa"/>
          <w:bottom w:w="28" w:type="dxa"/>
          <w:right w:w="28" w:type="dxa"/>
        </w:tblCellMar>
      </w:tblPr>
      <w:tblGrid>
        <w:gridCol w:w="348"/>
        <w:gridCol w:w="305"/>
        <w:gridCol w:w="307"/>
        <w:gridCol w:w="381"/>
        <w:gridCol w:w="381"/>
        <w:gridCol w:w="542"/>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28, 2026, TransDigm Group Incorporated (“TransDigm Group”) issued a press release (the “Press Release”) announcing the completion of the acquisition of Prince &amp; Izant (“P&amp;I” or “the Company”), formerly a portfolio company of Industrial Growth Partners, for approximately $1.066 billion in cash, including certain tax benefits. TransDigm Group financed the acquisition of the Company through cash on hand. The entry into the definitive agreement to acquire P&amp;I was previously reported in a Current Report on Form 8-K filed on July 27, 2026. A copy of this Press Release is attached to this Current Report on Form 8-K as Exhibit 99.1 and is incorporated herein by reference.</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9"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531"/>
        <w:gridCol w:w="531"/>
        <w:gridCol w:w="531"/>
        <w:gridCol w:w="531"/>
        <w:gridCol w:w="531"/>
        <w:gridCol w:w="531"/>
        <w:gridCol w:w="531"/>
        <w:gridCol w:w="531"/>
        <w:gridCol w:w="531"/>
        <w:gridCol w:w="531"/>
        <w:gridCol w:w="531"/>
        <w:gridCol w:w="75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essreleaseprin.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991pressreleaseprin.htm">
              <w:r>
                <w:rPr>
                  <w:rStyle w:val="InternetLink"/>
                  <w:rFonts w:ascii="Times New Roman;serif" w:hAnsi="Times New Roman;serif"/>
                  <w:b w:val="false"/>
                  <w:color w:val="0000FF"/>
                  <w:sz w:val="20"/>
                  <w:u w:val="single"/>
                </w:rPr>
                <w:t>Press Release</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65" w:type="dxa"/>
        <w:jc w:val="left"/>
        <w:tblInd w:w="0" w:type="dxa"/>
        <w:tblLayout w:type="fixed"/>
        <w:tblCellMar>
          <w:top w:w="28" w:type="dxa"/>
          <w:left w:w="28" w:type="dxa"/>
          <w:bottom w:w="28" w:type="dxa"/>
          <w:right w:w="28" w:type="dxa"/>
        </w:tblCellMar>
      </w:tblPr>
      <w:tblGrid>
        <w:gridCol w:w="318"/>
        <w:gridCol w:w="279"/>
        <w:gridCol w:w="279"/>
        <w:gridCol w:w="279"/>
        <w:gridCol w:w="279"/>
        <w:gridCol w:w="279"/>
        <w:gridCol w:w="279"/>
        <w:gridCol w:w="279"/>
        <w:gridCol w:w="279"/>
        <w:gridCol w:w="1387"/>
        <w:gridCol w:w="1387"/>
        <w:gridCol w:w="2041"/>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INCORPORATED</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 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Armani Vadiee</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2752725"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52725" cy="857250"/>
                    </a:xfrm>
                    <a:prstGeom prst="rect">
                      <a:avLst/>
                    </a:prstGeom>
                  </pic:spPr>
                </pic:pic>
              </a:graphicData>
            </a:graphic>
          </wp:inline>
        </w:drawing>
      </w:r>
      <w:r>
        <w:rPr>
          <w:color w:val="000000"/>
        </w:rPr>
        <w:t xml:space="preserve">             </w:t>
      </w:r>
      <w:r>
        <w:rPr>
          <w:color w:val="EE2724"/>
        </w:rPr>
        <w:t xml:space="preserve">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TransDigm Completes Acquisition of Prince &amp; Izant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Cleveland, Ohio, September 28, 2026 /PRNewswire/ -- TransDigm Group Incorporated (NYSE: TDG) today announced that it has successfully completed its acquisition of Prince &amp; Izant (“P&amp;I” or “the Company”), formerly a portfolio company of Industrial Growth Partners, for approximately $1.066 billion in cash, including certain tax benefits. TransDigm financed the acquisition of the Company through cash on hand. The acquisition was previously announced on July 27, 2026.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Headquartered in Cleveland, Ohio, Prince &amp; Izant is a leading global designer and manufacturer of highly engineered brazing alloys and specialty metal components used across a range of advanced performance and high cost-of-failure applications. The Company primarily supports the aerospace and defense, aeroderivative turbine, and transportation end markets. Within aerospace and defense, select applications include aircraft engine fuel nozzles and rocket engines. Additionally, but to a lesser degree, the Company also serves the medical and general industrial end markets.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The Company derives the majority of its revenue from the aftermarket and supports a large installed base globally. Prince &amp; Izant’s products are highly proprietary in nature and support end customers through the Company’s advanced metallurgy, precise chemistry requirements, and deep formulation expertise which are critical to supporting the evolving performance requirements in the markets which it serves.</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Company’s products span nearly 10,000 active SKUs, and the majority of P&amp;I’s revenue is derived from specialty metals including gold, silver, and platinum alloys. </w:t>
      </w:r>
    </w:p>
    <w:p>
      <w:pPr>
        <w:pStyle w:val="TextBody"/>
        <w:bidi w:val="0"/>
        <w:spacing w:lineRule="auto" w:line="288" w:before="180" w:after="283"/>
        <w:jc w:val="both"/>
        <w:rPr>
          <w:rFonts w:ascii="Times New Roman;serif" w:hAnsi="Times New Roman;serif"/>
          <w:b w:val="false"/>
          <w:color w:val="000000"/>
          <w:sz w:val="24"/>
        </w:rPr>
      </w:pPr>
      <w:r>
        <w:rPr>
          <w:rFonts w:ascii="Times New Roman;serif" w:hAnsi="Times New Roman;serif"/>
          <w:b w:val="false"/>
          <w:color w:val="000000"/>
          <w:sz w:val="24"/>
        </w:rPr>
        <w:t>P&amp;I is now expected to generate approximately $390 million in revenue for the calendar year ending December 31, 2026. The Company has manufacturing locations in Cleveland, Ohio; Tinley Park, Illinois; Franksville, Wisconsin; and Bay Shore, New York. Prince &amp; Izant employs approximately 220 people.</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About TransDigm Group</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TransDigm Group, through its wholly-owned subsidiaries, is a leading global designer, producer and supplier of highly engineered aircraft components for use on nearly all commercial and military aircraft in service today. 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batteries and chargers, engineered latching and locking devices, engineered rods, engineered connectors and elastomer sealing solutions, databus and power controls, cockpit security components and systems, specialized and advanced cockpit displays, engineered audio, radio and antenna systems, specialized lavatory components, seat belts and safety restraints, engineered and customized interior surfaces and related components, advanced sensor products, switches and relay panels, thermal protection and insulation, lighting and control technology, parachutes, high performance hoists, winches and lifting devices, and cargo loading, handling and delivery systems, specialized flight, wind tunnel and jet engine testing services and equipment, electronic components used in the generation, amplification, transmission and reception of microwave signals, and complex testing and instrumentation solutions.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60" w:after="283"/>
        <w:jc w:val="both"/>
        <w:rPr>
          <w:rFonts w:ascii="Times New Roman;serif" w:hAnsi="Times New Roman;serif"/>
          <w:b w:val="false"/>
          <w:color w:val="000000"/>
          <w:sz w:val="24"/>
        </w:rPr>
      </w:pPr>
      <w:r>
        <w:rPr>
          <w:rFonts w:ascii="Times New Roman;serif" w:hAnsi="Times New Roman;serif"/>
          <w:b w:val="false"/>
          <w:color w:val="000000"/>
          <w:sz w:val="24"/>
        </w:rPr>
        <w:t>All forward-looking statements involve risks and uncertainties that could cause TransDigm Group’s actual results to differ materially from those expressed or implied in any forward-looking statements made by, or on behalf of, TransDigm Group. These risks and uncertainties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Further information regarding the important factors that could cause actual results to differ materially from projected results can be found in TransDigm Group’s most recent Annual Report on Form 10-K and other reports that TransDigm Group or its subsidiaries have filed with the Securities and Exchange Commission. Except as required by law, TransDigm Group undertakes no obligation to revise or update the forward-looking statements contained in this press release.</w:t>
      </w:r>
    </w:p>
    <w:p>
      <w:pPr>
        <w:pStyle w:val="TextBody"/>
        <w:bidi w:val="0"/>
        <w:spacing w:before="120" w:after="283"/>
        <w:jc w:val="both"/>
        <w:rPr/>
      </w:pPr>
      <w:r>
        <w:rPr/>
      </w:r>
    </w:p>
    <w:tbl>
      <w:tblPr>
        <w:tblW w:w="3238"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557"/>
        <w:gridCol w:w="557"/>
        <w:gridCol w:w="79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216-706-2945</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ir@transdigm.com</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1252</Words>
  <Characters>7543</Characters>
  <CharactersWithSpaces>8730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