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10,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13, 2026, TransDigm Group Incorporated (the “Company”) announced that it has elected to withdraw from its proposed acquisition of Stellant Systems, Inc. (“Stellant”) from Arlington Capital Partners (“Seller”) and has notified relevant parties of its decision.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recently concluded, after careful consideration, that continuing to pursue the transaction through the regulatory review process was no longer in the best interests of the Company and its shareholders. In reaching this determination, the Company considered the uncertainty, the likely required time to complete the transaction relative to the contractual time limitation with Seller, and the opportunity cost of continuing to pursue the transaction rather than focusing on other strategic acquisition opportunities. Accordingly, the Company determined that withdrawing from the proposed acquisition represents the most prudent allocation of the Company's capital and management resources and is in the best interests of the Company and its shareholders. Following the Company's withdrawal of its regulatory filing on July 10, 2026, Seller provided the Company with notice of termination of the transaction agreement. The Company remains committed to its disciplined acquisition strategy and continues to evaluate acquisition opportunities that it believes will enhance long-term shareholder value.</w:t>
      </w:r>
    </w:p>
    <w:tbl>
      <w:tblPr>
        <w:tblW w:w="2655" w:type="dxa"/>
        <w:jc w:val="left"/>
        <w:tblInd w:w="0" w:type="dxa"/>
        <w:tblLayout w:type="fixed"/>
        <w:tblCellMar>
          <w:top w:w="28" w:type="dxa"/>
          <w:left w:w="28" w:type="dxa"/>
          <w:bottom w:w="28" w:type="dxa"/>
          <w:right w:w="28" w:type="dxa"/>
        </w:tblCellMar>
      </w:tblPr>
      <w:tblGrid>
        <w:gridCol w:w="850"/>
        <w:gridCol w:w="747"/>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statements in this Current Report on Form 8-K contain forward-looking statements within the meaning of the Private Securities Litigation Reform Act of 1995. 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the sensitivity of TransDigm Group’s business to the number of flight hours that TransDigm Group’s customers’ planes spend aloft and its customers’ profitability, both of which are affected by general economic conditions; supply chain constraints; increases in raw material costs, taxes and labor costs that cannot be recovered in product pricing; failure to complete or successfully integrate acquisitions; TransDigm Group’s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TransDigm Group’s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TransDigm Group’s international sales and operations; and other factors. Further information regarding the important factors that could cause actual results to differ materially from projected results can be found in TransDigm Group’s Annual Report on Form 10-K for the fiscal year ended September 30, 2025 and other reports that TransDigm Group or its subsidiaries have filed with the Securities and Exchange Commission. Except as required by law, TransDigm Group undertakes no obligation to revise or update any forward-looking statements contained in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65"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1387"/>
        <w:gridCol w:w="1387"/>
        <w:gridCol w:w="2041"/>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13,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5177</Characters>
  <CharactersWithSpaces>5993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