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Reiss Joel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44"/>
        <w:gridCol w:w="811"/>
        <w:gridCol w:w="627"/>
        <w:gridCol w:w="345"/>
        <w:gridCol w:w="818"/>
        <w:gridCol w:w="420"/>
        <w:gridCol w:w="1284"/>
        <w:gridCol w:w="1124"/>
        <w:gridCol w:w="976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284.97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1,112.265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7,680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1,113.5836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1,114.8205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1,116.024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1,117.11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7,370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1,119.0135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1,120.3033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7,240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1,121.5767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1,123.0856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7,049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1,125.0009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1,125.8595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5,865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1,127.0115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5,560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1,127.9018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1,129.3783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1,130.056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1,131.3268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1,132.2985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4,850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1,133.8868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1,134.9967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1,135.9542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284.97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constitutes the average weighted price of shares sold. Shares were sold at varying prices in the range of $1,111.9600 - $1,112.5700.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$1,113.2100 - $1,114.0300.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$1,114.5200 - $1,115.1300.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$1,115.7000 - $1,116.6700.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$1,116.7500 - $1,117.6800.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$1,118.6700 - $1,119.2000.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$1,120.2200 - $1,120.3500.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$1,121.2600 - $1,122.0700.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$1,122.4300 - $1,123.3800.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$1,123.4400 - $1,124.4100.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$1,124.4600 - $1,125.4400.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$1,125.4800 - $1,126.3300.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$1,126.4800 - $1,127.4500.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$1,127.6400 - $1,128.5000.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$1,128.7700 - $1,129.7600.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Price reported constitutes the average weighted price of shares sold. Shares were sold at varying prices in the range of $1,129.8000 - $1,130.7600.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Price reported constitutes the average weighted price of shares sold. Shares were sold at varying prices in the range of $1,130.9100 - $1,131.7800.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Price reported constitutes the average weighted price of shares sold. Shares were sold at varying prices in the range of $1,131.9200 - $1,132.8800.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Price reported constitutes the average weighted price of shares sold. Shares were sold at varying prices in the range of $1,133.4400 - $1,134.4150.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Price reported constitutes the average weighted price of shares sold. Shares were sold at varying prices in the range of $1,134.4700 - $1,135.4500.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Price reported constitutes the average weighted price of shares sold. Shares were sold at varying prices in the range of $1,135.5100 - $1,136.2400.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Joel Reiss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61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1971</Words>
  <Characters>10469</Characters>
  <CharactersWithSpaces>12171</CharactersWithSpaces>
  <Paragraphs>297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