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March 28, 2026 </w:t>
      </w:r>
    </w:p>
    <w:tbl>
      <w:tblPr>
        <w:tblW w:w="9492" w:type="dxa"/>
        <w:jc w:val="center"/>
        <w:tblInd w:w="0" w:type="dxa"/>
        <w:tblLayout w:type="fixed"/>
        <w:tblCellMar>
          <w:top w:w="28" w:type="dxa"/>
          <w:left w:w="28" w:type="dxa"/>
          <w:bottom w:w="28" w:type="dxa"/>
          <w:right w:w="28" w:type="dxa"/>
        </w:tblCellMar>
      </w:tblPr>
      <w:tblGrid>
        <w:gridCol w:w="124"/>
        <w:gridCol w:w="109"/>
        <w:gridCol w:w="109"/>
        <w:gridCol w:w="2679"/>
        <w:gridCol w:w="2679"/>
        <w:gridCol w:w="37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0"/>
        <w:jc w:val="center"/>
        <w:rPr/>
      </w:pPr>
      <w:r>
        <w:rPr>
          <w:rFonts w:ascii="Times New Roman;serif" w:hAnsi="Times New Roman;serif"/>
          <w:b w:val="false"/>
          <w:color w:val="000000"/>
          <w:sz w:val="20"/>
        </w:rPr>
        <w:t>Commission File Number 001-32833</w:t>
      </w:r>
      <w:r>
        <w:rPr>
          <w:color w:val="000000"/>
        </w:rPr>
        <w:t xml:space="preserve"> </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 xml:space="preserve">TransDigm Group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41-2101738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bl>
      <w:tblPr>
        <w:tblW w:w="5741"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290"/>
        <w:gridCol w:w="290"/>
        <w:gridCol w:w="41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accelerated filer, non-accelerated filer, smaller reporting company or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644"/>
        <w:gridCol w:w="1347"/>
        <w:gridCol w:w="1315"/>
        <w:gridCol w:w="241"/>
        <w:gridCol w:w="241"/>
        <w:gridCol w:w="241"/>
        <w:gridCol w:w="241"/>
        <w:gridCol w:w="241"/>
        <w:gridCol w:w="241"/>
        <w:gridCol w:w="1356"/>
        <w:gridCol w:w="1356"/>
        <w:gridCol w:w="1362"/>
        <w:gridCol w:w="109"/>
        <w:gridCol w:w="109"/>
        <w:gridCol w:w="161"/>
      </w:tblGrid>
      <w:tr>
        <w:trPr/>
        <w:tc>
          <w:tcPr>
            <w:tcW w:w="16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9"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723"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723"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6"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9"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tbl>
      <w:tblPr>
        <w:tblW w:w="9011" w:type="dxa"/>
        <w:jc w:val="left"/>
        <w:tblInd w:w="0" w:type="dxa"/>
        <w:tblLayout w:type="fixed"/>
        <w:tblCellMar>
          <w:top w:w="28" w:type="dxa"/>
          <w:left w:w="28" w:type="dxa"/>
          <w:bottom w:w="28" w:type="dxa"/>
          <w:right w:w="28" w:type="dxa"/>
        </w:tblCellMar>
      </w:tblPr>
      <w:tblGrid>
        <w:gridCol w:w="875"/>
        <w:gridCol w:w="770"/>
        <w:gridCol w:w="770"/>
        <w:gridCol w:w="272"/>
        <w:gridCol w:w="272"/>
        <w:gridCol w:w="272"/>
        <w:gridCol w:w="475"/>
        <w:gridCol w:w="475"/>
        <w:gridCol w:w="475"/>
        <w:gridCol w:w="272"/>
        <w:gridCol w:w="272"/>
        <w:gridCol w:w="272"/>
        <w:gridCol w:w="1037"/>
        <w:gridCol w:w="1037"/>
        <w:gridCol w:w="1465"/>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901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number of shares outstanding of TransDigm Group Incorporated’s common stock, par value $.01 per share, was 55,933,583 as of April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7"/>
        <w:gridCol w:w="243"/>
        <w:gridCol w:w="245"/>
        <w:gridCol w:w="109"/>
        <w:gridCol w:w="109"/>
        <w:gridCol w:w="109"/>
        <w:gridCol w:w="349"/>
        <w:gridCol w:w="349"/>
        <w:gridCol w:w="349"/>
        <w:gridCol w:w="2533"/>
        <w:gridCol w:w="2378"/>
        <w:gridCol w:w="2314"/>
        <w:gridCol w:w="109"/>
        <w:gridCol w:w="109"/>
        <w:gridCol w:w="109"/>
        <w:gridCol w:w="149"/>
        <w:gridCol w:w="149"/>
        <w:gridCol w:w="21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0">
              <w:r>
                <w:rPr>
                  <w:rStyle w:val="InternetLink"/>
                  <w:rFonts w:ascii="Times New Roman;serif" w:hAnsi="Times New Roman;serif"/>
                  <w:b w:val="false"/>
                  <w:color w:val="0000FF"/>
                  <w:sz w:val="20"/>
                  <w:u w:val="single"/>
                </w:rPr>
                <w:t>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3">
              <w:r>
                <w:rPr>
                  <w:rStyle w:val="InternetLink"/>
                  <w:rFonts w:ascii="Times New Roman;serif" w:hAnsi="Times New Roman;serif"/>
                  <w:b w:val="false"/>
                  <w:color w:val="0000FF"/>
                  <w:sz w:val="20"/>
                  <w:u w:val="single"/>
                </w:rPr>
                <w:t>1</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Balance Sheets – March 28, 2026 and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6">
              <w:r>
                <w:rPr>
                  <w:rStyle w:val="InternetLink"/>
                  <w:rFonts w:ascii="Times New Roman;serif" w:hAnsi="Times New Roman;serif"/>
                  <w:b w:val="false"/>
                  <w:color w:val="0000FF"/>
                  <w:sz w:val="20"/>
                  <w:u w:val="single"/>
                </w:rPr>
                <w:t>1</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 – Thirteen and Twenty-Six Week Periods Ended March 28, 2026 and 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22">
              <w:r>
                <w:rPr>
                  <w:rStyle w:val="InternetLink"/>
                  <w:rFonts w:ascii="Times New Roman;serif" w:hAnsi="Times New Roman;serif"/>
                  <w:b w:val="false"/>
                  <w:color w:val="0000FF"/>
                  <w:sz w:val="20"/>
                  <w:u w:val="single"/>
                </w:rPr>
                <w:t>2</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 Thirteen and Twenty-Six Week Periods Ended March 28, 2026 and 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25">
              <w:r>
                <w:rPr>
                  <w:rStyle w:val="InternetLink"/>
                  <w:rFonts w:ascii="Times New Roman;serif" w:hAnsi="Times New Roman;serif"/>
                  <w:b w:val="false"/>
                  <w:color w:val="0000FF"/>
                  <w:sz w:val="20"/>
                  <w:u w:val="single"/>
                </w:rPr>
                <w:t>3</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Stockholders’ Deficit – Thirteen and Twenty-Six Week Periods Ended March 28, 2026 and 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28">
              <w:r>
                <w:rPr>
                  <w:rStyle w:val="InternetLink"/>
                  <w:rFonts w:ascii="Times New Roman;serif" w:hAnsi="Times New Roman;serif"/>
                  <w:b w:val="false"/>
                  <w:color w:val="0000FF"/>
                  <w:sz w:val="20"/>
                  <w:u w:val="single"/>
                </w:rPr>
                <w:t>4</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 Twenty-Six Week Periods Ended March 28, 2026 and 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31">
              <w:r>
                <w:rPr>
                  <w:rStyle w:val="InternetLink"/>
                  <w:rFonts w:ascii="Times New Roman;serif" w:hAnsi="Times New Roman;serif"/>
                  <w:b w:val="false"/>
                  <w:color w:val="0000FF"/>
                  <w:sz w:val="20"/>
                  <w:u w:val="single"/>
                </w:rPr>
                <w:t>6</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34">
              <w:r>
                <w:rPr>
                  <w:rStyle w:val="InternetLink"/>
                  <w:rFonts w:ascii="Times New Roman;serif" w:hAnsi="Times New Roman;serif"/>
                  <w:b w:val="false"/>
                  <w:color w:val="0000FF"/>
                  <w:sz w:val="20"/>
                  <w:u w:val="single"/>
                </w:rPr>
                <w:t>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00">
              <w:r>
                <w:rPr>
                  <w:rStyle w:val="InternetLink"/>
                  <w:rFonts w:ascii="Times New Roman;serif" w:hAnsi="Times New Roman;serif"/>
                  <w:b w:val="false"/>
                  <w:color w:val="0000FF"/>
                  <w:sz w:val="20"/>
                  <w:u w:val="single"/>
                </w:rPr>
                <w:t>23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Quantitative and Qualitative Disclosure About Market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45">
              <w:r>
                <w:rPr>
                  <w:rStyle w:val="InternetLink"/>
                  <w:rFonts w:ascii="Times New Roman;serif" w:hAnsi="Times New Roman;serif"/>
                  <w:b w:val="false"/>
                  <w:color w:val="0000FF"/>
                  <w:sz w:val="20"/>
                  <w:u w:val="single"/>
                </w:rPr>
                <w:t>41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48">
              <w:r>
                <w:rPr>
                  <w:rStyle w:val="InternetLink"/>
                  <w:rFonts w:ascii="Times New Roman;serif" w:hAnsi="Times New Roman;serif"/>
                  <w:b w:val="false"/>
                  <w:color w:val="0000FF"/>
                  <w:sz w:val="20"/>
                  <w:u w:val="single"/>
                </w:rPr>
                <w:t>41</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54">
              <w:r>
                <w:rPr>
                  <w:rStyle w:val="InternetLink"/>
                  <w:rFonts w:ascii="Times New Roman;serif" w:hAnsi="Times New Roman;serif"/>
                  <w:b w:val="false"/>
                  <w:color w:val="0000FF"/>
                  <w:sz w:val="20"/>
                  <w:u w:val="single"/>
                </w:rPr>
                <w:t>42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60">
              <w:r>
                <w:rPr>
                  <w:rStyle w:val="InternetLink"/>
                  <w:rFonts w:ascii="Times New Roman;serif" w:hAnsi="Times New Roman;serif"/>
                  <w:b w:val="false"/>
                  <w:color w:val="0000FF"/>
                  <w:sz w:val="20"/>
                  <w:u w:val="single"/>
                </w:rPr>
                <w:t>42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60">
              <w:r>
                <w:rPr>
                  <w:rStyle w:val="InternetLink"/>
                  <w:rFonts w:ascii="Times New Roman;serif" w:hAnsi="Times New Roman;serif"/>
                  <w:b w:val="false"/>
                  <w:color w:val="0000FF"/>
                  <w:sz w:val="20"/>
                  <w:u w:val="single"/>
                </w:rPr>
                <w:t>42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 Purchases of Equity Securities by the 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63">
              <w:r>
                <w:rPr>
                  <w:rStyle w:val="InternetLink"/>
                  <w:rFonts w:ascii="Times New Roman;serif" w:hAnsi="Times New Roman;serif"/>
                  <w:b w:val="false"/>
                  <w:color w:val="0000FF"/>
                  <w:sz w:val="20"/>
                  <w:u w:val="single"/>
                </w:rPr>
                <w:t>42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66">
              <w:r>
                <w:rPr>
                  <w:rStyle w:val="InternetLink"/>
                  <w:rFonts w:ascii="Times New Roman;serif" w:hAnsi="Times New Roman;serif"/>
                  <w:b w:val="false"/>
                  <w:color w:val="0000FF"/>
                  <w:sz w:val="20"/>
                  <w:u w:val="single"/>
                </w:rPr>
                <w:t>42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72">
              <w:r>
                <w:rPr>
                  <w:rStyle w:val="InternetLink"/>
                  <w:rFonts w:ascii="Times New Roman;serif" w:hAnsi="Times New Roman;serif"/>
                  <w:b w:val="false"/>
                  <w:color w:val="0000FF"/>
                  <w:sz w:val="20"/>
                  <w:u w:val="single"/>
                </w:rPr>
                <w:t>43</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684201378d402fb95971bc296ed04d_175">
              <w:r>
                <w:rPr>
                  <w:rStyle w:val="InternetLink"/>
                  <w:rFonts w:ascii="Times New Roman;serif" w:hAnsi="Times New Roman;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except share amounts)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34"/>
        <w:gridCol w:w="2219"/>
        <w:gridCol w:w="2231"/>
        <w:gridCol w:w="233"/>
        <w:gridCol w:w="797"/>
        <w:gridCol w:w="120"/>
        <w:gridCol w:w="109"/>
        <w:gridCol w:w="109"/>
        <w:gridCol w:w="109"/>
        <w:gridCol w:w="260"/>
        <w:gridCol w:w="890"/>
        <w:gridCol w:w="194"/>
      </w:tblGrid>
      <w:tr>
        <w:trPr/>
        <w:tc>
          <w:tcPr>
            <w:tcW w:w="293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receivable—Net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Inventories—Net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EQUIPMENT—NET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25,442 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34,836 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 GROUP STOCKHOLDERS’ DEFICIT:</w:t>
            </w:r>
          </w:p>
        </w:tc>
        <w:tc>
          <w:tcPr>
            <w:tcW w:w="11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$.01 par value; authorized 224,400,000 shares; issued 62,749,795 and 62,465,317 at March 28, 2026 and September 30, 2025, respectively</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6,776,957 and 6,089,675 shares at March 28, 2026 and September 30, 2025, respectively</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TD Group stockholders’ deficit</w:t>
            </w:r>
          </w:p>
        </w:tc>
        <w:tc>
          <w:tcPr>
            <w:tcW w:w="10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25,442 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p>
      <w:pPr>
        <w:pStyle w:val="TextBody"/>
        <w:bidi w:val="0"/>
        <w:spacing w:lineRule="auto" w:line="288" w:before="0" w:after="0"/>
        <w:jc w:val="left"/>
        <w:rPr/>
      </w:pPr>
      <w:r>
        <w:rPr>
          <w:rFonts w:ascii="Times New Roman;serif" w:hAnsi="Times New Roman;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992"/>
        <w:gridCol w:w="1318"/>
        <w:gridCol w:w="1332"/>
        <w:gridCol w:w="254"/>
        <w:gridCol w:w="742"/>
        <w:gridCol w:w="130"/>
        <w:gridCol w:w="111"/>
        <w:gridCol w:w="111"/>
        <w:gridCol w:w="111"/>
        <w:gridCol w:w="254"/>
        <w:gridCol w:w="742"/>
        <w:gridCol w:w="130"/>
        <w:gridCol w:w="109"/>
        <w:gridCol w:w="109"/>
        <w:gridCol w:w="109"/>
        <w:gridCol w:w="254"/>
        <w:gridCol w:w="742"/>
        <w:gridCol w:w="130"/>
        <w:gridCol w:w="116"/>
        <w:gridCol w:w="116"/>
        <w:gridCol w:w="116"/>
        <w:gridCol w:w="251"/>
        <w:gridCol w:w="736"/>
        <w:gridCol w:w="190"/>
      </w:tblGrid>
      <w:tr>
        <w:trPr/>
        <w:tc>
          <w:tcPr>
            <w:tcW w:w="199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4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share attributable to TD Group common stockholders:</w:t>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61"/>
        <w:gridCol w:w="1434"/>
        <w:gridCol w:w="1447"/>
        <w:gridCol w:w="296"/>
        <w:gridCol w:w="656"/>
        <w:gridCol w:w="153"/>
        <w:gridCol w:w="123"/>
        <w:gridCol w:w="123"/>
        <w:gridCol w:w="123"/>
        <w:gridCol w:w="296"/>
        <w:gridCol w:w="656"/>
        <w:gridCol w:w="153"/>
        <w:gridCol w:w="109"/>
        <w:gridCol w:w="109"/>
        <w:gridCol w:w="109"/>
        <w:gridCol w:w="296"/>
        <w:gridCol w:w="656"/>
        <w:gridCol w:w="153"/>
        <w:gridCol w:w="129"/>
        <w:gridCol w:w="129"/>
        <w:gridCol w:w="129"/>
        <w:gridCol w:w="292"/>
        <w:gridCol w:w="646"/>
        <w:gridCol w:w="227"/>
      </w:tblGrid>
      <w:tr>
        <w:trPr/>
        <w:tc>
          <w:tcPr>
            <w:tcW w:w="176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4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 attributable to TD Group</w:t>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TD GROUP</w:t>
            </w:r>
          </w:p>
        </w:tc>
        <w:tc>
          <w:tcPr>
            <w:tcW w:w="2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except share amounts)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tbl>
      <w:tblPr>
        <w:tblW w:w="11262" w:type="dxa"/>
        <w:jc w:val="left"/>
        <w:tblInd w:w="0" w:type="dxa"/>
        <w:tblLayout w:type="fixed"/>
        <w:tblCellMar>
          <w:top w:w="28" w:type="dxa"/>
          <w:left w:w="28" w:type="dxa"/>
          <w:bottom w:w="28" w:type="dxa"/>
          <w:right w:w="28" w:type="dxa"/>
        </w:tblCellMar>
      </w:tblPr>
      <w:tblGrid>
        <w:gridCol w:w="415"/>
        <w:gridCol w:w="272"/>
        <w:gridCol w:w="274"/>
        <w:gridCol w:w="398"/>
        <w:gridCol w:w="398"/>
        <w:gridCol w:w="191"/>
        <w:gridCol w:w="109"/>
        <w:gridCol w:w="109"/>
        <w:gridCol w:w="109"/>
        <w:gridCol w:w="187"/>
        <w:gridCol w:w="219"/>
        <w:gridCol w:w="109"/>
        <w:gridCol w:w="109"/>
        <w:gridCol w:w="109"/>
        <w:gridCol w:w="109"/>
        <w:gridCol w:w="181"/>
        <w:gridCol w:w="466"/>
        <w:gridCol w:w="109"/>
        <w:gridCol w:w="109"/>
        <w:gridCol w:w="109"/>
        <w:gridCol w:w="109"/>
        <w:gridCol w:w="204"/>
        <w:gridCol w:w="543"/>
        <w:gridCol w:w="124"/>
        <w:gridCol w:w="109"/>
        <w:gridCol w:w="109"/>
        <w:gridCol w:w="109"/>
        <w:gridCol w:w="277"/>
        <w:gridCol w:w="576"/>
        <w:gridCol w:w="168"/>
        <w:gridCol w:w="109"/>
        <w:gridCol w:w="109"/>
        <w:gridCol w:w="109"/>
        <w:gridCol w:w="368"/>
        <w:gridCol w:w="368"/>
        <w:gridCol w:w="191"/>
        <w:gridCol w:w="109"/>
        <w:gridCol w:w="109"/>
        <w:gridCol w:w="109"/>
        <w:gridCol w:w="181"/>
        <w:gridCol w:w="481"/>
        <w:gridCol w:w="109"/>
        <w:gridCol w:w="109"/>
        <w:gridCol w:w="109"/>
        <w:gridCol w:w="109"/>
        <w:gridCol w:w="368"/>
        <w:gridCol w:w="430"/>
        <w:gridCol w:w="223"/>
        <w:gridCol w:w="109"/>
        <w:gridCol w:w="109"/>
        <w:gridCol w:w="109"/>
        <w:gridCol w:w="181"/>
        <w:gridCol w:w="481"/>
        <w:gridCol w:w="154"/>
      </w:tblGrid>
      <w:tr>
        <w:trPr/>
        <w:tc>
          <w:tcPr>
            <w:tcW w:w="4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TD Group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 Other Comprehensive Loss</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2024</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61,904,833 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(7,362)</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(5,688,639)</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(6,283)</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(252,800)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BALANCE—December 28, 2024</w:t>
            </w:r>
          </w:p>
        </w:tc>
        <w:tc>
          <w:tcPr>
            <w:tcW w:w="7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62,022,913 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(6,877)</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(5,941,439)</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(6,251)</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7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185,035 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derivatives,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BALANCE—March 29, 2025</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62,207,948 </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(6,407)</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(5,984,108)</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(2,075)</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(5,664)</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except share amounts)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(Unaudited) </w:t>
      </w:r>
    </w:p>
    <w:tbl>
      <w:tblPr>
        <w:tblW w:w="11307" w:type="dxa"/>
        <w:jc w:val="center"/>
        <w:tblInd w:w="0" w:type="dxa"/>
        <w:tblLayout w:type="fixed"/>
        <w:tblCellMar>
          <w:top w:w="28" w:type="dxa"/>
          <w:left w:w="28" w:type="dxa"/>
          <w:bottom w:w="28" w:type="dxa"/>
          <w:right w:w="28" w:type="dxa"/>
        </w:tblCellMar>
      </w:tblPr>
      <w:tblGrid>
        <w:gridCol w:w="460"/>
        <w:gridCol w:w="272"/>
        <w:gridCol w:w="274"/>
        <w:gridCol w:w="398"/>
        <w:gridCol w:w="398"/>
        <w:gridCol w:w="191"/>
        <w:gridCol w:w="109"/>
        <w:gridCol w:w="109"/>
        <w:gridCol w:w="109"/>
        <w:gridCol w:w="187"/>
        <w:gridCol w:w="219"/>
        <w:gridCol w:w="109"/>
        <w:gridCol w:w="109"/>
        <w:gridCol w:w="109"/>
        <w:gridCol w:w="109"/>
        <w:gridCol w:w="181"/>
        <w:gridCol w:w="466"/>
        <w:gridCol w:w="109"/>
        <w:gridCol w:w="109"/>
        <w:gridCol w:w="109"/>
        <w:gridCol w:w="109"/>
        <w:gridCol w:w="181"/>
        <w:gridCol w:w="581"/>
        <w:gridCol w:w="109"/>
        <w:gridCol w:w="109"/>
        <w:gridCol w:w="109"/>
        <w:gridCol w:w="109"/>
        <w:gridCol w:w="312"/>
        <w:gridCol w:w="520"/>
        <w:gridCol w:w="189"/>
        <w:gridCol w:w="109"/>
        <w:gridCol w:w="109"/>
        <w:gridCol w:w="109"/>
        <w:gridCol w:w="368"/>
        <w:gridCol w:w="368"/>
        <w:gridCol w:w="191"/>
        <w:gridCol w:w="109"/>
        <w:gridCol w:w="109"/>
        <w:gridCol w:w="109"/>
        <w:gridCol w:w="181"/>
        <w:gridCol w:w="481"/>
        <w:gridCol w:w="109"/>
        <w:gridCol w:w="109"/>
        <w:gridCol w:w="109"/>
        <w:gridCol w:w="109"/>
        <w:gridCol w:w="368"/>
        <w:gridCol w:w="430"/>
        <w:gridCol w:w="223"/>
        <w:gridCol w:w="109"/>
        <w:gridCol w:w="109"/>
        <w:gridCol w:w="109"/>
        <w:gridCol w:w="181"/>
        <w:gridCol w:w="481"/>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TD Group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 Other Comprehensive (Loss) Income</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2025</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62,465,317 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(6,089,675)</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107,798 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(85,212)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BALANCE—December 27, 2025</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62,573,115 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(6,174,887)</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(9,263)</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176,680 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(602,070)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BALANCE—March 28, 2026</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62,749,795 </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(9,639)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(6,776,957)</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(3,040)</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(9,394)</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TRANSDIGM GROUP INCORPORATED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9627" w:type="dxa"/>
        <w:jc w:val="left"/>
        <w:tblInd w:w="0" w:type="dxa"/>
        <w:tblLayout w:type="fixed"/>
        <w:tblCellMar>
          <w:top w:w="28" w:type="dxa"/>
          <w:left w:w="28" w:type="dxa"/>
          <w:bottom w:w="28" w:type="dxa"/>
          <w:right w:w="28" w:type="dxa"/>
        </w:tblCellMar>
      </w:tblPr>
      <w:tblGrid>
        <w:gridCol w:w="2419"/>
        <w:gridCol w:w="2125"/>
        <w:gridCol w:w="2130"/>
        <w:gridCol w:w="286"/>
        <w:gridCol w:w="814"/>
        <w:gridCol w:w="159"/>
        <w:gridCol w:w="130"/>
        <w:gridCol w:w="130"/>
        <w:gridCol w:w="130"/>
        <w:gridCol w:w="282"/>
        <w:gridCol w:w="801"/>
        <w:gridCol w:w="221"/>
      </w:tblGrid>
      <w:tr>
        <w:trPr/>
        <w:tc>
          <w:tcPr>
            <w:tcW w:w="24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and product certification costs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original issue discount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businesses,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 and deferred compensation expense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assets/liabilities, net of effects from acquisitions and sales of businesses: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transactions,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1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dividend equivalent payments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senior subordinated notes,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loans,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trade receivable securitization facility,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on term loans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and other,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1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1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3,884 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 net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 of refunds</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TWENTY-SIX WEEK PERIODS ENDED MARCH 28, 2026 AND MARCH 29,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indicates, the terms “the Company,” “TD Group,” “TransDigm,” “we,” “us,” “our,” and similar references refer to TransDigm Group Incorporated and its subsidiaries.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included herein is unaudited; however, the information reflects all adjustments (consisting of normal recurring adjustments) that are, in the opinion of management, necessary for a fair presentation of the Company’s condensed consolidated financial statements for the interim periods presented. These financial statements and notes should be read in conjunction with the financial statements and related notes for the fiscal year ended September 30, 2025 included in TD Group’s Annual Report on Form 10-K filed on November 12, 2025. As disclosed therein, the Company’s annual consolidated financial statements were prepared in conformity with generally accepted accounting principles in the United States (“U.S. GAAP”). The September 30, 2025 condensed consolidated balance sheet was derived from TD Group’s audited financial statements. The results of operations for the twenty-six week period ended March 28, 2026 are not necessarily indicative of the results to be expected for the full year.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Reclassifications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prior year amounts to conform to the current year presentation, none of which are material.</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New Accounting Pronouncements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2023, the FASB issued ASU 2023-07, “Segment Reporting (Topic 280): Improvements to Reportable Segment Disclosures.” ASU 2023-07 expands disclosures about a public business entity's reportable segments and provides for more detailed information about a reportable segment's expenses. Additionally, ASU 2023-07 requires all segment profit or loss and assets disclosures to be provided on an annual and interim basis. This standard is effective for annual periods beginning after December 15, 2023 (fiscal 2025) and interim periods within fiscal years beginning one year later (fiscal 2026). The Company adopted this standard in the fourth quarter of fiscal 2025. Refer to Note 12, “Segments,” for further information.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Recent Accounting Pronouncements Issued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which requires a public business entity to disclose specific categories in its annual effective tax rate reconciliation and disaggregated information about significant reconciling items by jurisdiction and by nature. The ASU also requires entities to disclose their income tax payments (net of refunds) to international, federal, and state and local jurisdictions. The standard makes several other changes to income tax disclosure requirements. This standard is effective for annual periods beginning after December 15, 2024 (fiscal 2026), and requires prospective application with the option to apply it retrospectively. The Company will adopt this standard in the fourth quarter of fiscal 2026 and expects to apply it prospectively. This standard will expand our annual income tax disclosures, but will not impact our consolidated balance sheets, results of operations or cash flows. </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Additionally, in January 2025, the FASB issued ASU 2025-01 to clarify the effective date of ASU 2024-03. The standard requires, among other items, additional disaggregated disclosures in the notes to financial statements for certain categories of expenses that are included on the face of the statement of income. The standard is effective for fiscal years beginning after December 15, 2026 (fiscal 2028), and for interim periods within fiscal years beginning after December 15, 2027 (fiscal 2029), on a retrospective or prospective basis, with early adoption permitted. The Company is currently evaluating this standard to determine its impact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ACQUISITIONS</w:t>
      </w:r>
    </w:p>
    <w:p>
      <w:pPr>
        <w:pStyle w:val="TextBody"/>
        <w:bidi w:val="0"/>
        <w:spacing w:lineRule="auto" w:line="288" w:before="120" w:after="283"/>
        <w:jc w:val="both"/>
        <w:rPr/>
      </w:pPr>
      <w:r>
        <w:rPr>
          <w:rFonts w:ascii="Times New Roman;serif" w:hAnsi="Times New Roman;serif"/>
          <w:b/>
          <w:i/>
          <w:color w:val="000000"/>
          <w:sz w:val="20"/>
        </w:rPr>
        <w:t xml:space="preserve">Jet Parts Engineering and Victor Sierra Aviation Holdings </w:t>
      </w:r>
      <w:r>
        <w:rPr>
          <w:color w:val="000000"/>
        </w:rPr>
        <w:t xml:space="preserve">– </w:t>
      </w:r>
      <w:r>
        <w:rPr>
          <w:rFonts w:ascii="Times New Roman;serif" w:hAnsi="Times New Roman;serif"/>
          <w:b w:val="false"/>
          <w:color w:val="000000"/>
          <w:sz w:val="20"/>
        </w:rPr>
        <w:t xml:space="preserve">On April 7, 2026, the Company completed the acquisition of Jet Parts Engineering (“JPE”) and Victor Sierra Aviation Holdings (“VSA”) for approximately $2.2 billion in cash. The definitive agreement to acquire JPE and VSA from Vance Street Capital was entered into on January 13, 2026. The acquisition was financed using cash on hand and the net proceeds from the debt offerings completed in February 2026 (refer to Note 8, “Debt,” for further information on these debt offerings).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JPE, headquartered in Seattle, Washington, is a leading independent designer and manufacturer of aerospace aftermarket solutions, primarily proprietary original equipment manufacturer (“OEM”) alternative parts and repairs. JPE serves commercial, regional and cargo airline customers, as well as maintenance, repair and overhaul providers. JPE’s products are highly engineered, proprietary parts manufacturer approval (“PMA”) components with a strong presence across major commercial aerospace platforms. Nearly all of JPE’s revenue is derived from the commercial aftermarket. In addition to its engineering headquarters in Seattle, Washington, JPE has engineering and component repair locations in Texas, New York, Florida, Alabama and the United Kingdom.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VSA is a leading designer, manufacturer, and distributor of proprietary PMA and other aftermarket parts serving the commercial aerospace end market – primarily the general aviation and business aviation sectors. VSA is a leading collection of brands including McFarlane Aviation, Tempest Aero Group, and Aviation Products Systems. VSA offers a complete line of highly engineered PMA, custom design and OEM products, as well as service and repair stations. Nearly all of VSA’s revenue is derived from the commercial aftermarket. VSA primarily operates out of three facilities: Baldwin City, Kansas; Burlington, North Carolina; and Granite City, Illinois. Additional satellite facilities are in Illinois, Texas, Kentucky and Washington to provide support and strategic proximity to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 of JPE and VSA will be accounted for using the acquisition method of accounting. Due to the timing of the closing date, the Company is unable to provide the preliminary estimated fair values of the assets acquired and liabilities assumed as of the acquisition date.</w:t>
      </w:r>
    </w:p>
    <w:p>
      <w:pPr>
        <w:pStyle w:val="TextBody"/>
        <w:bidi w:val="0"/>
        <w:spacing w:lineRule="auto" w:line="288" w:before="120" w:after="283"/>
        <w:jc w:val="both"/>
        <w:rPr/>
      </w:pPr>
      <w:r>
        <w:rPr>
          <w:rFonts w:ascii="Times New Roman;serif" w:hAnsi="Times New Roman;serif"/>
          <w:b/>
          <w:i/>
          <w:color w:val="000000"/>
          <w:sz w:val="20"/>
        </w:rPr>
        <w:t xml:space="preserve">Stellant Systems, Inc. </w:t>
      </w:r>
      <w:r>
        <w:rPr>
          <w:color w:val="000000"/>
        </w:rPr>
        <w:t xml:space="preserve">– </w:t>
      </w:r>
      <w:r>
        <w:rPr>
          <w:rFonts w:ascii="Times New Roman;serif" w:hAnsi="Times New Roman;serif"/>
          <w:b w:val="false"/>
          <w:color w:val="000000"/>
          <w:sz w:val="20"/>
        </w:rPr>
        <w:t xml:space="preserve">On December 30, 2025, the Company entered into a definitive agreement to acquire all the outstanding stock of Stellant Systems, Inc. (“Stellant”), a portfolio company of Arlington Capital Partners, for approximately $960 million in cash. The acquisition is expected to be financed using cash on hand and the net proceeds from the debt offerings completed in April 2026 (refer to Note 8, “Debt,” for further information on these debt offerings).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Stellant, headquartered in Torrance, California, is a leading global designer and manufacturer of high-power electronic components and subsystems serving the aerospace and defense end market. Stellant’s products are highly engineered, proprietary components with substantial aftermarket content and a strong presence across major aerospace and defense platforms, adding new products and services to TransDigm's portfolio.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 of Stellant is subject to regulatory approvals in the United States and customary closing conditions.</w:t>
      </w:r>
    </w:p>
    <w:p>
      <w:pPr>
        <w:pStyle w:val="TextBody"/>
        <w:bidi w:val="0"/>
        <w:spacing w:lineRule="auto" w:line="288" w:before="120" w:after="283"/>
        <w:jc w:val="both"/>
        <w:rPr/>
      </w:pPr>
      <w:r>
        <w:rPr>
          <w:rFonts w:ascii="Times New Roman;serif" w:hAnsi="Times New Roman;serif"/>
          <w:b/>
          <w:i/>
          <w:color w:val="000000"/>
          <w:sz w:val="20"/>
        </w:rPr>
        <w:t xml:space="preserve">Simmonds Precision Products, Inc. </w:t>
      </w:r>
      <w:r>
        <w:rPr>
          <w:color w:val="000000"/>
        </w:rPr>
        <w:t xml:space="preserve">– </w:t>
      </w:r>
      <w:r>
        <w:rPr>
          <w:rFonts w:ascii="Times New Roman;serif" w:hAnsi="Times New Roman;serif"/>
          <w:b w:val="false"/>
          <w:color w:val="000000"/>
          <w:sz w:val="20"/>
        </w:rPr>
        <w:t>On October 6, 2025, the Company completed the acquisition of all the outstanding stock of the Simmonds Precision Products, Inc. Business (“Simmonds”) of Goodrich Corporation from RTX Corporation for approximately $757 million in cash. The acquisition was financed using cash on hand. Simmonds, headquartered in Vergennes, Vermont, is a leading global designer and manufacturer of fuel &amp; proximity sensing and structural health monitoring solutions for the aerospace and defense end markets. Simmonds' products are highly engineered, proprietary components with significant aftermarket content and a strong presence across major aerospace and defense platforms. The operating results of Simmonds are included within TransDigm's Power &amp; Control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fair value of the assets acquired and liabilities assumed, all of the $312 million of goodwill and $425 million of other intangible assets recognized for the acquisition as of March 28, 2026 is expected to be deductible for tax purposes over 15 years. As of March 28, 2026, the measurement period (not to exceed one year) is open; therefore, the assets acquired and liabilities assumed are subject to adjustment until the end of the measurement period.</w:t>
      </w:r>
    </w:p>
    <w:p>
      <w:pPr>
        <w:pStyle w:val="TextBody"/>
        <w:bidi w:val="0"/>
        <w:spacing w:lineRule="auto" w:line="288" w:before="120" w:after="283"/>
        <w:jc w:val="both"/>
        <w:rPr/>
      </w:pPr>
      <w:r>
        <w:rPr>
          <w:rFonts w:ascii="Times New Roman;serif" w:hAnsi="Times New Roman;serif"/>
          <w:b/>
          <w:i/>
          <w:color w:val="000000"/>
          <w:sz w:val="20"/>
        </w:rPr>
        <w:t xml:space="preserve">Servotronics, Inc. </w:t>
      </w:r>
      <w:r>
        <w:rPr>
          <w:color w:val="000000"/>
        </w:rPr>
        <w:t xml:space="preserve">– </w:t>
      </w:r>
      <w:r>
        <w:rPr>
          <w:rFonts w:ascii="Times New Roman;serif" w:hAnsi="Times New Roman;serif"/>
          <w:b w:val="false"/>
          <w:color w:val="000000"/>
          <w:sz w:val="20"/>
        </w:rPr>
        <w:t>On June 2, 2025, the Company launched a tender offer to acquire all the issued and outstanding stock of Servotronics, Inc. (“Servotronics”), at a price of $47.00 per share in cash. On July 1, 2025, the tender offer expired, resulting in all issued and outstanding stock of Servotronics being canceled and Servotronics becoming a wholly owned subsidiary of the Company. The total purchase price was approximately $133 million in cash, which was financed through cash on hand. Servotronics, headquartered in Elma, New York, is a leading global designer and manufacturer of servo controls and other advanced technology components for aerospace and defense applications. Its products are highly engineered, proprietary components with significant aftermarket content and a strong presence across major aerospace and defense platforms. The operating results of Servotronics are included within TransDigm's Power &amp; Control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fair value of the assets acquired and liabilities assumed, $76 million of goodwill and $46 million of other intangible assets was recognized for the acquisition as of March 28, 2026, none of which is expected to be deductible for tax purposes. As of March 28, 2026, the measurement period (not to exceed one year) is open; therefore, the assets acquired and liabilities assumed are subject to adjustment until the end of the measurement period.</w:t>
      </w:r>
    </w:p>
    <w:p>
      <w:pPr>
        <w:pStyle w:val="TextBody"/>
        <w:bidi w:val="0"/>
        <w:spacing w:lineRule="auto" w:line="288" w:before="120" w:after="283"/>
        <w:jc w:val="both"/>
        <w:rPr/>
      </w:pPr>
      <w:r>
        <w:rPr>
          <w:rFonts w:ascii="Times New Roman;serif" w:hAnsi="Times New Roman;serif"/>
          <w:b/>
          <w:i/>
          <w:color w:val="000000"/>
          <w:sz w:val="20"/>
        </w:rPr>
        <w:t xml:space="preserve">Other Acquisitions </w:t>
      </w:r>
      <w:r>
        <w:rPr>
          <w:color w:val="000000"/>
        </w:rPr>
        <w:t xml:space="preserve">– </w:t>
      </w:r>
      <w:r>
        <w:rPr>
          <w:rFonts w:ascii="Times New Roman;serif" w:hAnsi="Times New Roman;serif"/>
          <w:b w:val="false"/>
          <w:color w:val="000000"/>
          <w:sz w:val="20"/>
        </w:rPr>
        <w:t>For the twenty-six week period ended March 28, 2026, the Company completed several acquisitions consisting of substantially all of the assets and technical data rights of certain product lines or all the outstanding stock of certain businesses (collectively, referred to herein as the “Other Acquisitions”), each meeting the definition of a business, for a total aggregate purchase price of $243 million in cash. Each of the acquisitions was financed using cash on hand. These acquisitions represent bolt-ons to existing TransDigm operating units. Of the $113 million of goodwill recognized as of March 28, 2026 for the acquisitions, $75 million is expected to be deductible for tax purposes over 15 years. Of the $88 million of other intangible assets recognized for the acquisitions as of March 28, 2026, $65 million is expected to be deductible for tax purposes over 15 years. As of March 28, 2026, the measurement period (not to exceed one year) is open for the fiscal 2026 Other Acquisitions; therefore, the assets acquired and liabilities assumed are subject to adjustment until the end of the respective measurement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fiscal year ended September 30, 2025, the Company completed a number of Other Acquisitions, each meeting the definition of a business, for a total aggregate purchase price of $284 million in cash. Each of the acquisitions was financed using cash on hand. These acquisitions represent bolt-ons to existing TransDigm operating units. The Company expects that all of the approximately $147 million of goodwill and $90 million of other intangible assets recognized for the acquisitions will be deductible for tax purposes over 15 years. As of March 28, 2026, the measurement period (not to exceed one year) is open for certain fiscal 2025 Other Acquisitions; therefore, the assets acquired and liabilities assumed are subject to adjustment until the end of the respective measurement period.</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 forma net sales and results of operations for the acquisitions, had they occurred at the beginning of the twenty-six week periods ended March 28, 2026 or March 29, 2025 are not material.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acquisitions completed by the Company strengthen and expand the Company’s position to design, produce and supply highly engineered proprietary aerospace components in niche markets with significant aftermarket content and provide opportunities to create value through the application of our three core value-driven operating strategy (obtaining profitable new business, continually improving our cost structure, and providing highly engineered value-added products to customers). The purchase prices paid reflect the current EBITDA As Defined and cash flows, as well as the future EBITDA As Defined and cash flows expected to be generated by the businesses, which are driven in most cases by the recurring aftermarket consumption over the life of a particular aircraft, estimated to be approximately 25 to 30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TransDigm's sales are concentrated in the aerospace and defense industry. The Company’s customers include: distributors of aerospace components, commercial airlines, large commercial transport and regional and business aircraft OEMs, various armed forces of the United States (“U.S.”) and friendly foreign governments, defense OEMs, system suppliers, and various other industrial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from contracts with customers using the five step model prescribed in ASC 606. A substantial portion of the Company's revenue is recorded at a point in time basis. Revenue is recognized from the sale of products or services when obligations under the terms of the contract are satisfied and control of promised goods or services has transferred to the customer. Control is transferred when the customer has the ability to direct the use of and obtain benefits from the goods or services. Revenue is measured at the amount of consideration the Company expects to be paid in exchange for goods or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 limited number of contracts, control transfers to the customer over time, primarily in contracts where the customer is required to pay for the cost of both the finished and unfinished goods at the time of cancellation plus a reasonable profit relative to the work performed for products that were customized for the customer. Therefore, we recognize revenue over time for those agreements that have a right to margin and where the products being produced have no alternative use.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our production cycle, it is generally expected that goods related to the revenue will be shipped and billed within twelve months. For revenue recognized over time, we estimate the amount of revenue attributable to a contract earned at a given point during the production cycle based on certain costs, such as materials and labor incurred to date, plus the expected profit, which is a cost-to-cost input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consider the contractual consideration payable by the customer and assess variable consideration that may affect the total transaction price. Variable consideration is included in the estimated transaction price when there is a basis to reasonably estimate the amount, including whether the estimate should be constrained in order to avoid a significant reversal of revenue in a future period. These estimates are based on historical experience, anticipated performance under the terms of the contract and our best judgment at the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to an existing contract on the transaction price and our measure of progress for the performance obligation to which it relates, is recognized as an adjustment to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payment terms vary by the type and location of the customer and the products or services offered. The Company does not offer any payment terms that would meet the requirements for consideration as a significant financing component.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Shipping and handling fees and costs incurred in connection with products sold are recorded in cost of sales in the consolidated statements of income, and are not considered a performance obligation to our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pays sales commissions that relate to contracts for products or services that are satisfied at a point in time or over a period of one year or less and are expensed as incurred. These costs are reported as a component of selling and administrative expenses in the condensed consolidated statements of income.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elected to adopt the practical expedient to not disclose the aggregate amount of transaction price allocated to performance obligations that are unsatisfied as of the end of the reporting period for performance obligations that are part of a contract with an original expected duration of one year or less.</w:t>
      </w:r>
    </w:p>
    <w:p>
      <w:pPr>
        <w:pStyle w:val="TextBody"/>
        <w:bidi w:val="0"/>
        <w:spacing w:lineRule="auto" w:line="288" w:before="120" w:after="283"/>
        <w:jc w:val="both"/>
        <w:rPr/>
      </w:pPr>
      <w:r>
        <w:rPr>
          <w:rFonts w:ascii="Times New Roman;serif" w:hAnsi="Times New Roman;serif"/>
          <w:b/>
          <w:i/>
          <w:color w:val="000000"/>
          <w:sz w:val="20"/>
        </w:rPr>
        <w:t xml:space="preserve">Contract Assets and Liabilities </w:t>
      </w:r>
      <w:r>
        <w:rPr>
          <w:color w:val="000000"/>
        </w:rPr>
        <w:t xml:space="preserve">– </w:t>
      </w:r>
      <w:r>
        <w:rPr>
          <w:rFonts w:ascii="Times New Roman;serif" w:hAnsi="Times New Roman;serif"/>
          <w:b w:val="false"/>
          <w:color w:val="000000"/>
          <w:sz w:val="20"/>
        </w:rPr>
        <w:t>Contract assets reflect revenue recognized and performance obligations satisfied in advance of customer billing or reimbursable costs related to a specific contract. Contract liabilities (Deferred revenue) relate to payments received in advance of the satisfaction of performance under the contract. We receive payments from customers based on the terms established in our contracts. The following table summarizes our contract assets and liabilities balances (in millions):</w:t>
      </w:r>
    </w:p>
    <w:tbl>
      <w:tblPr>
        <w:tblW w:w="6071" w:type="dxa"/>
        <w:jc w:val="left"/>
        <w:tblInd w:w="0" w:type="dxa"/>
        <w:tblLayout w:type="fixed"/>
        <w:tblCellMar>
          <w:top w:w="28" w:type="dxa"/>
          <w:left w:w="28" w:type="dxa"/>
          <w:bottom w:w="28" w:type="dxa"/>
          <w:right w:w="28" w:type="dxa"/>
        </w:tblCellMar>
      </w:tblPr>
      <w:tblGrid>
        <w:gridCol w:w="1048"/>
        <w:gridCol w:w="921"/>
        <w:gridCol w:w="926"/>
        <w:gridCol w:w="338"/>
        <w:gridCol w:w="747"/>
        <w:gridCol w:w="174"/>
        <w:gridCol w:w="109"/>
        <w:gridCol w:w="109"/>
        <w:gridCol w:w="109"/>
        <w:gridCol w:w="402"/>
        <w:gridCol w:w="891"/>
        <w:gridCol w:w="297"/>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assets, current </w:t>
            </w:r>
            <w:r>
              <w:rPr>
                <w:rFonts w:ascii="Times New Roman;serif" w:hAnsi="Times New Roman;serif"/>
                <w:b w:val="false"/>
                <w:color w:val="000000"/>
                <w:sz w:val="13"/>
              </w:rPr>
              <w:t>(1)</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assets, non-current </w:t>
            </w:r>
            <w:r>
              <w:rPr>
                <w:rFonts w:ascii="Times New Roman;serif" w:hAnsi="Times New Roman;serif"/>
                <w:b w:val="false"/>
                <w:color w:val="000000"/>
                <w:sz w:val="13"/>
              </w:rPr>
              <w:t>(2)</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assets</w:t>
            </w:r>
          </w:p>
        </w:tc>
        <w:tc>
          <w:tcPr>
            <w:tcW w:w="10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liabilities, current </w:t>
            </w:r>
            <w:r>
              <w:rPr>
                <w:rFonts w:ascii="Times New Roman;serif" w:hAnsi="Times New Roman;serif"/>
                <w:b w:val="false"/>
                <w:color w:val="000000"/>
                <w:sz w:val="13"/>
              </w:rPr>
              <w:t>(3)</w:t>
            </w:r>
          </w:p>
        </w:tc>
        <w:tc>
          <w:tcPr>
            <w:tcW w:w="10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liabilities, non-current </w:t>
            </w:r>
            <w:r>
              <w:rPr>
                <w:rFonts w:ascii="Times New Roman;serif" w:hAnsi="Times New Roman;serif"/>
                <w:b w:val="false"/>
                <w:color w:val="000000"/>
                <w:sz w:val="13"/>
              </w:rPr>
              <w:t>(4)</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liabilities</w:t>
            </w:r>
          </w:p>
        </w:tc>
        <w:tc>
          <w:tcPr>
            <w:tcW w:w="10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contract assets</w:t>
            </w:r>
          </w:p>
        </w:tc>
        <w:tc>
          <w:tcPr>
            <w:tcW w:w="3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prepaid expenses and other on the condensed consolidated balance sheets.</w:t>
      </w:r>
    </w:p>
    <w:p>
      <w:pPr>
        <w:pStyle w:val="TextBody"/>
        <w:bidi w:val="0"/>
        <w:spacing w:lineRule="auto" w:line="288" w:before="6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non-current assets on the condensed consolidated balance sheets.</w:t>
      </w:r>
    </w:p>
    <w:p>
      <w:pPr>
        <w:pStyle w:val="TextBody"/>
        <w:bidi w:val="0"/>
        <w:spacing w:lineRule="auto" w:line="288" w:before="6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accrued and other current liabilities on the condensed consolidated balance sheets.</w:t>
      </w:r>
    </w:p>
    <w:p>
      <w:pPr>
        <w:pStyle w:val="TextBody"/>
        <w:bidi w:val="0"/>
        <w:spacing w:lineRule="auto" w:line="288" w:before="60" w:after="18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Included in other non-current liabilities on the condensed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twenty-six week period ended March 28, 2026, the revenue recognized that was included in the contract liability balance at the beginning of the fiscal year was approximately $87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12, “Segments,” for disclosures related to the disaggregation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millions, except per share data) using the two-class method:</w:t>
      </w:r>
    </w:p>
    <w:tbl>
      <w:tblPr>
        <w:tblW w:w="10205" w:type="dxa"/>
        <w:jc w:val="left"/>
        <w:tblInd w:w="0" w:type="dxa"/>
        <w:tblLayout w:type="fixed"/>
        <w:tblCellMar>
          <w:top w:w="28" w:type="dxa"/>
          <w:left w:w="28" w:type="dxa"/>
          <w:bottom w:w="28" w:type="dxa"/>
          <w:right w:w="28" w:type="dxa"/>
        </w:tblCellMar>
      </w:tblPr>
      <w:tblGrid>
        <w:gridCol w:w="1813"/>
        <w:gridCol w:w="1414"/>
        <w:gridCol w:w="1424"/>
        <w:gridCol w:w="279"/>
        <w:gridCol w:w="676"/>
        <w:gridCol w:w="143"/>
        <w:gridCol w:w="118"/>
        <w:gridCol w:w="118"/>
        <w:gridCol w:w="118"/>
        <w:gridCol w:w="279"/>
        <w:gridCol w:w="676"/>
        <w:gridCol w:w="143"/>
        <w:gridCol w:w="109"/>
        <w:gridCol w:w="109"/>
        <w:gridCol w:w="109"/>
        <w:gridCol w:w="256"/>
        <w:gridCol w:w="749"/>
        <w:gridCol w:w="132"/>
        <w:gridCol w:w="116"/>
        <w:gridCol w:w="116"/>
        <w:gridCol w:w="116"/>
        <w:gridCol w:w="254"/>
        <w:gridCol w:w="743"/>
        <w:gridCol w:w="195"/>
      </w:tblGrid>
      <w:tr>
        <w:trPr/>
        <w:tc>
          <w:tcPr>
            <w:tcW w:w="181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earnings per share:</w:t>
            </w:r>
          </w:p>
        </w:tc>
        <w:tc>
          <w:tcPr>
            <w:tcW w:w="10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9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paid on participating securities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stockholders—basic and diluted</w:t>
            </w:r>
          </w:p>
        </w:tc>
        <w:tc>
          <w:tcPr>
            <w:tcW w:w="2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 for basic and diluted earnings per share under the two-class method:</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options deemed participating securities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for basic and diluted earnings per share</w:t>
            </w:r>
          </w:p>
        </w:tc>
        <w:tc>
          <w:tcPr>
            <w:tcW w:w="9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Earnings per share—basic and diluted </w:t>
            </w:r>
            <w:r>
              <w:rPr>
                <w:rFonts w:ascii="Times New Roman;serif" w:hAnsi="Times New Roman;serif"/>
                <w:b w:val="false"/>
                <w:color w:val="000000"/>
                <w:sz w:val="13"/>
              </w:rPr>
              <w:t>(1)</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Figures in the table may not recalculate exactly due to rounding. Earnings per share is calculated using unrounded numbers.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27, 2022, the Board of Directors of the Company (the “Board”) authorized a new stock repurchase program permitting repurchases of our outstanding shares not to exceed $2.2 billion in the aggregate (referred to herein as the “existing stock repurchase program”), subject to any restrictions specified in the Second Amended and Restated Credit Agreement dated as of June 4, 2014 (the “Credit Agreement”) and indentures governing the existing Subordinated and Secured Notes, replacing the $650 million stock repurchase program. In November 2025, the Board authorized an additional $5.0 billion in share repurchases of common stock permissible under the Company’s existing stock repurchase program. There is no expiration date for the existing stock repurchase program.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fiscal 2026, the Company repurchased 602,070 shares of common stock at an average price of $1,200.58 per share for a total amount of $723 million. For the twenty-six week period ended March 28, 2026, the Company repurchased 687,282 shares of common stock at an average price of $1,206.68 per share for a total amount of $829 million, of which $108 million is accrued within accrued and other current liabilities as of March 28, 2026. The repurchased shares of common stock are classified as treasury stock in the statement of changes in stockholders' deficit. As of March 28, 2026, $4,958 million remains available for repurchase under the existing stock repurchase program. </w:t>
      </w:r>
    </w:p>
    <w:p>
      <w:pPr>
        <w:pStyle w:val="TextBody"/>
        <w:bidi w:val="0"/>
        <w:spacing w:lineRule="auto" w:line="288" w:before="120" w:after="283"/>
        <w:jc w:val="both"/>
        <w:rPr/>
      </w:pPr>
      <w:r>
        <w:rPr>
          <w:rFonts w:ascii="Times New Roman;serif" w:hAnsi="Times New Roman;serif"/>
          <w:b/>
          <w:i/>
          <w:color w:val="000000"/>
          <w:sz w:val="20"/>
        </w:rPr>
        <w:t xml:space="preserve">Subsequent Event </w:t>
      </w:r>
      <w:r>
        <w:rPr>
          <w:color w:val="000000"/>
        </w:rPr>
        <w:t xml:space="preserve">– </w:t>
      </w:r>
      <w:r>
        <w:rPr>
          <w:rFonts w:ascii="Times New Roman;serif" w:hAnsi="Times New Roman;serif"/>
          <w:b/>
          <w:i/>
          <w:color w:val="000000"/>
          <w:sz w:val="20"/>
        </w:rPr>
        <w:t xml:space="preserve">April Share Repurchase Activity </w:t>
      </w:r>
      <w:r>
        <w:rPr>
          <w:color w:val="000000"/>
        </w:rPr>
        <w:t xml:space="preserve">– </w:t>
      </w:r>
      <w:r>
        <w:rPr>
          <w:rFonts w:ascii="Times New Roman;serif" w:hAnsi="Times New Roman;serif"/>
          <w:b w:val="false"/>
          <w:color w:val="000000"/>
          <w:sz w:val="20"/>
        </w:rPr>
        <w:t>In April 2026, the Company repurchased</w:t>
      </w:r>
      <w:r>
        <w:rPr>
          <w:color w:val="000000"/>
        </w:rPr>
        <w:t xml:space="preserve"> </w:t>
      </w:r>
      <w:r>
        <w:rPr>
          <w:rFonts w:ascii="Times New Roman;serif" w:hAnsi="Times New Roman;serif"/>
          <w:b w:val="false"/>
          <w:color w:val="000000"/>
          <w:sz w:val="20"/>
        </w:rPr>
        <w:t>66,537 shares of common stock at an average price of $1,138.88 per share for a total amount of $76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Cost of inventories is generally determined by the average cost and the first–in, first–out (“FIFO”) methods and includes material, labor and overhead related to the manufacturing process.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(in millions):</w:t>
      </w:r>
    </w:p>
    <w:tbl>
      <w:tblPr>
        <w:tblW w:w="7046" w:type="dxa"/>
        <w:jc w:val="left"/>
        <w:tblInd w:w="0" w:type="dxa"/>
        <w:tblLayout w:type="fixed"/>
        <w:tblCellMar>
          <w:top w:w="28" w:type="dxa"/>
          <w:left w:w="28" w:type="dxa"/>
          <w:bottom w:w="28" w:type="dxa"/>
          <w:right w:w="28" w:type="dxa"/>
        </w:tblCellMar>
      </w:tblPr>
      <w:tblGrid>
        <w:gridCol w:w="1401"/>
        <w:gridCol w:w="1233"/>
        <w:gridCol w:w="1236"/>
        <w:gridCol w:w="284"/>
        <w:gridCol w:w="829"/>
        <w:gridCol w:w="146"/>
        <w:gridCol w:w="109"/>
        <w:gridCol w:w="109"/>
        <w:gridCol w:w="109"/>
        <w:gridCol w:w="342"/>
        <w:gridCol w:w="999"/>
        <w:gridCol w:w="249"/>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purchased component parts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Inventories—Net</w:t>
            </w:r>
          </w:p>
        </w:tc>
        <w:tc>
          <w:tcPr>
            <w:tcW w:w="28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4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24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carrying value of goodwill by segment from September 30, 2025 through March 28, 2026 (in millions):</w:t>
      </w:r>
    </w:p>
    <w:tbl>
      <w:tblPr>
        <w:tblW w:w="9049" w:type="dxa"/>
        <w:jc w:val="left"/>
        <w:tblInd w:w="0" w:type="dxa"/>
        <w:tblLayout w:type="fixed"/>
        <w:tblCellMar>
          <w:top w:w="28" w:type="dxa"/>
          <w:left w:w="28" w:type="dxa"/>
          <w:bottom w:w="28" w:type="dxa"/>
          <w:right w:w="28" w:type="dxa"/>
        </w:tblCellMar>
      </w:tblPr>
      <w:tblGrid>
        <w:gridCol w:w="1309"/>
        <w:gridCol w:w="1150"/>
        <w:gridCol w:w="1155"/>
        <w:gridCol w:w="307"/>
        <w:gridCol w:w="898"/>
        <w:gridCol w:w="161"/>
        <w:gridCol w:w="109"/>
        <w:gridCol w:w="109"/>
        <w:gridCol w:w="109"/>
        <w:gridCol w:w="211"/>
        <w:gridCol w:w="616"/>
        <w:gridCol w:w="109"/>
        <w:gridCol w:w="109"/>
        <w:gridCol w:w="109"/>
        <w:gridCol w:w="109"/>
        <w:gridCol w:w="330"/>
        <w:gridCol w:w="565"/>
        <w:gridCol w:w="171"/>
        <w:gridCol w:w="109"/>
        <w:gridCol w:w="109"/>
        <w:gridCol w:w="109"/>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during the period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price allocation adjustments </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and other</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3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assets–net in the condensed consolidated balance sheets consist of the following (in millions):</w:t>
      </w:r>
    </w:p>
    <w:tbl>
      <w:tblPr>
        <w:tblW w:w="10205" w:type="dxa"/>
        <w:jc w:val="left"/>
        <w:tblInd w:w="0" w:type="dxa"/>
        <w:tblLayout w:type="fixed"/>
        <w:tblCellMar>
          <w:top w:w="28" w:type="dxa"/>
          <w:left w:w="28" w:type="dxa"/>
          <w:bottom w:w="28" w:type="dxa"/>
          <w:right w:w="28" w:type="dxa"/>
        </w:tblCellMar>
      </w:tblPr>
      <w:tblGrid>
        <w:gridCol w:w="561"/>
        <w:gridCol w:w="418"/>
        <w:gridCol w:w="420"/>
        <w:gridCol w:w="306"/>
        <w:gridCol w:w="896"/>
        <w:gridCol w:w="159"/>
        <w:gridCol w:w="109"/>
        <w:gridCol w:w="109"/>
        <w:gridCol w:w="109"/>
        <w:gridCol w:w="284"/>
        <w:gridCol w:w="831"/>
        <w:gridCol w:w="148"/>
        <w:gridCol w:w="109"/>
        <w:gridCol w:w="109"/>
        <w:gridCol w:w="109"/>
        <w:gridCol w:w="211"/>
        <w:gridCol w:w="616"/>
        <w:gridCol w:w="109"/>
        <w:gridCol w:w="109"/>
        <w:gridCol w:w="109"/>
        <w:gridCol w:w="109"/>
        <w:gridCol w:w="306"/>
        <w:gridCol w:w="896"/>
        <w:gridCol w:w="159"/>
        <w:gridCol w:w="109"/>
        <w:gridCol w:w="109"/>
        <w:gridCol w:w="109"/>
        <w:gridCol w:w="284"/>
        <w:gridCol w:w="831"/>
        <w:gridCol w:w="148"/>
        <w:gridCol w:w="109"/>
        <w:gridCol w:w="109"/>
        <w:gridCol w:w="109"/>
        <w:gridCol w:w="211"/>
        <w:gridCol w:w="616"/>
        <w:gridCol w:w="160"/>
      </w:tblGrid>
      <w:tr>
        <w:trPr/>
        <w:tc>
          <w:tcPr>
            <w:tcW w:w="5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net identifiable tangible and intangible assets acquired is based on the acquisition method of accounting. The fair value of the net identifiable tangible and intangible assets acquired will be finalized within the measurement period (not to exceed one year). Intangible assets acquired during the twenty-six week period ended March 28, 2026 are summarized in the table below (in millions):</w:t>
      </w:r>
    </w:p>
    <w:tbl>
      <w:tblPr>
        <w:tblW w:w="6897" w:type="dxa"/>
        <w:jc w:val="left"/>
        <w:tblInd w:w="0" w:type="dxa"/>
        <w:tblLayout w:type="fixed"/>
        <w:tblCellMar>
          <w:top w:w="28" w:type="dxa"/>
          <w:left w:w="28" w:type="dxa"/>
          <w:bottom w:w="28" w:type="dxa"/>
          <w:right w:w="28" w:type="dxa"/>
        </w:tblCellMar>
      </w:tblPr>
      <w:tblGrid>
        <w:gridCol w:w="1365"/>
        <w:gridCol w:w="1198"/>
        <w:gridCol w:w="1202"/>
        <w:gridCol w:w="310"/>
        <w:gridCol w:w="685"/>
        <w:gridCol w:w="160"/>
        <w:gridCol w:w="109"/>
        <w:gridCol w:w="109"/>
        <w:gridCol w:w="109"/>
        <w:gridCol w:w="482"/>
        <w:gridCol w:w="482"/>
        <w:gridCol w:w="686"/>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&amp; 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20 years</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to 3 years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20 years</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impairment test for goodwill and other intangible assets as of the first day of the fourth fiscal quarter of each year, or more frequently, if events or circumstances change that would more likely than not reduce the fair value of a reporting unit below its carrying value. We have assessed the changes in events and circumstances through the second quarter of fiscal 2026 and concluded that no triggering events occurred that required an interim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consists of the following (in millions):</w:t>
      </w:r>
    </w:p>
    <w:tbl>
      <w:tblPr>
        <w:tblW w:w="10205" w:type="dxa"/>
        <w:jc w:val="left"/>
        <w:tblInd w:w="0" w:type="dxa"/>
        <w:tblLayout w:type="fixed"/>
        <w:tblCellMar>
          <w:top w:w="28" w:type="dxa"/>
          <w:left w:w="28" w:type="dxa"/>
          <w:bottom w:w="28" w:type="dxa"/>
          <w:right w:w="28" w:type="dxa"/>
        </w:tblCellMar>
      </w:tblPr>
      <w:tblGrid>
        <w:gridCol w:w="1580"/>
        <w:gridCol w:w="1388"/>
        <w:gridCol w:w="1393"/>
        <w:gridCol w:w="225"/>
        <w:gridCol w:w="770"/>
        <w:gridCol w:w="116"/>
        <w:gridCol w:w="109"/>
        <w:gridCol w:w="109"/>
        <w:gridCol w:w="109"/>
        <w:gridCol w:w="314"/>
        <w:gridCol w:w="784"/>
        <w:gridCol w:w="162"/>
        <w:gridCol w:w="109"/>
        <w:gridCol w:w="109"/>
        <w:gridCol w:w="109"/>
        <w:gridCol w:w="392"/>
        <w:gridCol w:w="804"/>
        <w:gridCol w:w="202"/>
        <w:gridCol w:w="109"/>
        <w:gridCol w:w="109"/>
        <w:gridCol w:w="109"/>
        <w:gridCol w:w="211"/>
        <w:gridCol w:w="721"/>
        <w:gridCol w:w="162"/>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Issue Discount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6.750% secured notes due 2028 (“2028 Secured Notes”)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subordinated notes due 2029 (“4.625% 2029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secured notes due 2029 (“2029 Secured Notes”)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senior subordinated notes due 2029 (“4.875% 2029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6.875% secured notes due 2030 (“2030 Secured Notes”)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7.125% secured notes due 2031 (“2031 Secured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6.625% secured notes due 2032 (“2032 Secured Notes”)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secured notes due 2033 (“2033 Secured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senior subordinated notes due 2033 (“6.375% 2033 Notes”)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secured notes due 2034 (“2034 Secured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6.750% senior subordinated notes due 2034 (“6.750% 2034 Notes”)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senior subordinated notes due 2034 (“Initial 6.125% 2034 Notes”)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refundable advances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31,507 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31,279 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31,377 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Accrued interest, which is classified as a component of accrued and other current liabilities on the condensed consolidated balance sheets, was $284 million and $208 million as of March 28, 2026 and September 30, 2025, respectively.</w:t>
      </w:r>
    </w:p>
    <w:p>
      <w:pPr>
        <w:pStyle w:val="TextBody"/>
        <w:bidi w:val="0"/>
        <w:spacing w:before="0" w:after="0"/>
        <w:jc w:val="both"/>
        <w:rPr/>
      </w:pPr>
      <w:r>
        <w:rPr/>
      </w:r>
    </w:p>
    <w:p>
      <w:pPr>
        <w:pStyle w:val="TextBody"/>
        <w:bidi w:val="0"/>
        <w:spacing w:lineRule="auto" w:line="288" w:before="120" w:after="283"/>
        <w:jc w:val="both"/>
        <w:rPr/>
      </w:pPr>
      <w:r>
        <w:rPr>
          <w:rFonts w:ascii="Times New Roman;serif" w:hAnsi="Times New Roman;serif"/>
          <w:b/>
          <w:i/>
          <w:color w:val="000000"/>
          <w:sz w:val="20"/>
        </w:rPr>
        <w:t xml:space="preserve">Issuance of Initial 6.125% 2034 Notes – </w:t>
      </w:r>
      <w:r>
        <w:rPr>
          <w:rFonts w:ascii="Times New Roman;serif" w:hAnsi="Times New Roman;serif"/>
          <w:b w:val="false"/>
          <w:color w:val="000000"/>
          <w:sz w:val="20"/>
        </w:rPr>
        <w:t>On February 13, 2026, the Company entered into a purchase agreement in connection with a private offering of $1,200 million in aggregate principal amount consisting of the Initial 6.125% 2034 Notes at an issue price of 100% of the principal amount. The Initial 6.125% 2034 Notes were issued pursuant to an indenture, dated as of February 13, 2026, amongst TransDigm Inc., as issuer, TransDigm Group and the other subsidiaries of TransDigm Inc. named therein, as guarantors. The Initial 6.125% 2034 Notes bear interest at the rate of 6.125% per annum, which accrues from February 13, 2026 and is payable in arrears on January 31 and July 31 of each year, commencing on July 31, 2026. The Initial 6.125% 2034 Notes mature on July 31, 2034, unless earlier redeemed or repurchased, and are subject to the terms and conditions set forth in the related indenture.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approximately $11 million in debt issuance costs associated with the Initial 6.125% 2034 Notes during the twenty-six week period ended March 28, 2026.</w:t>
      </w:r>
    </w:p>
    <w:p>
      <w:pPr>
        <w:pStyle w:val="TextBody"/>
        <w:bidi w:val="0"/>
        <w:spacing w:lineRule="auto" w:line="288" w:before="120" w:after="283"/>
        <w:jc w:val="both"/>
        <w:rPr/>
      </w:pPr>
      <w:r>
        <w:rPr>
          <w:rFonts w:ascii="Times New Roman;serif" w:hAnsi="Times New Roman;serif"/>
          <w:b/>
          <w:i/>
          <w:color w:val="000000"/>
          <w:sz w:val="20"/>
        </w:rPr>
        <w:t xml:space="preserve">Subsequent Event – Issuance of $500 Million of Senior Subordinated Notes due 2034 – </w:t>
      </w:r>
      <w:r>
        <w:rPr>
          <w:rFonts w:ascii="Times New Roman;serif" w:hAnsi="Times New Roman;serif"/>
          <w:b w:val="false"/>
          <w:color w:val="000000"/>
          <w:sz w:val="20"/>
        </w:rPr>
        <w:t>On April 17, 2026, the Company entered into a purchase agreement in connection with a private offering of $500 million in aggregate principal amount consisting of the 6.125% 2034 Notes (the “New 6.125% 2034 Notes”) at an issue price of 100.375%, or a premium of approximately $2 million, of the principal amount. The New 6.125% 2034 Notes were issued pursuant to a supplemental indenture, dated as of April 17, 2026, which is substantially the same as the terms and conditions that apply to the Initial 6.125% 2034 Notes indenture dated as of February 13, 2026.</w:t>
      </w:r>
    </w:p>
    <w:p>
      <w:pPr>
        <w:pStyle w:val="TextBody"/>
        <w:bidi w:val="0"/>
        <w:spacing w:lineRule="auto" w:line="288" w:before="120" w:after="283"/>
        <w:jc w:val="both"/>
        <w:rPr/>
      </w:pPr>
      <w:r>
        <w:rPr>
          <w:rFonts w:ascii="Times New Roman;serif" w:hAnsi="Times New Roman;serif"/>
          <w:b/>
          <w:i/>
          <w:color w:val="000000"/>
          <w:sz w:val="20"/>
        </w:rPr>
        <w:t xml:space="preserve">Amendment No. 20 and Incremental Term Loan Assumption Agreement – </w:t>
      </w:r>
      <w:r>
        <w:rPr>
          <w:rFonts w:ascii="Times New Roman;serif" w:hAnsi="Times New Roman;serif"/>
          <w:b w:val="false"/>
          <w:color w:val="000000"/>
          <w:sz w:val="20"/>
        </w:rPr>
        <w:t xml:space="preserve">On February 13, 2026, the Company entered into Amendment No. 20 and Incremental Term Loan Assumption Agreement (herein, “Amendment No. 20”), pursuant to which the Company, among other things, incurred $800 million in Tranche N term loans (the “Initial Tranche N term loans”). Original issue discount of 0.125%, or $1 million, was paid to the lenders of the Initial Tranche N term loans. The other terms and conditions that apply to the Initial Tranche N term loans are substantially the same as the terms and conditions that apply to the other term loans existing under the Term Loans Facility. The Initial Tranche N term loans were fully drawn on February 13,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approximately $8 million in debt issuance costs associated with Amendment No. 20 during the twenty-six week period ended March 28, 2026. </w:t>
      </w:r>
    </w:p>
    <w:p>
      <w:pPr>
        <w:pStyle w:val="TextBody"/>
        <w:bidi w:val="0"/>
        <w:spacing w:lineRule="auto" w:line="288" w:before="120" w:after="283"/>
        <w:jc w:val="both"/>
        <w:rPr/>
      </w:pPr>
      <w:r>
        <w:rPr>
          <w:rFonts w:ascii="Times New Roman;serif" w:hAnsi="Times New Roman;serif"/>
          <w:b/>
          <w:i/>
          <w:color w:val="000000"/>
          <w:sz w:val="20"/>
        </w:rPr>
        <w:t xml:space="preserve">Subsequent Event – Amendment No. 21 and Incremental Term Loan Assumption Agreement – </w:t>
      </w:r>
      <w:r>
        <w:rPr>
          <w:rFonts w:ascii="Times New Roman;serif" w:hAnsi="Times New Roman;serif"/>
          <w:b w:val="false"/>
          <w:color w:val="000000"/>
          <w:sz w:val="20"/>
        </w:rPr>
        <w:t>On April 17, 2026, the Company entered into Amendment No. 21 and Incremental Term Loan Assumption Agreement (herein, “Amendment No. 21”), pursuant to which the Company, among other things, incurred $1,000 million in new Tranche N term loans (the “New Tranche N term loans”). Original issue discount of 0.125%, or approximately $1 million, was paid to the lenders of the New Tranche N term loans. The other terms and conditions that apply to the New Tranche N term loans are substantially the same as the terms and conditions that apply to the other term loans existing under the Term Loans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Principal payments for the Initial and New Tranche N term loans commence on June 30, 2026, in which approximately $4.5 million is to be paid on a quarterly basis up to the February 13, 2033 maturity date. The Initial and New Tranche N term loans bear interest at the rate of Term SOFR plus 2.50% per annum, which accrued from February 13, 2026, and is payable in arrears on March 31, June 30, September 30, and December 31 of each year, commencing on June 30, 2026.</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Use of Proceeds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February 13, 2026 issuances of the Initial 6.125% 2034 Notes and the Initial Tranche N terms loans, along with cash on hand, to fund the purchase price of the acquisition of JPE and VSA and for related transaction fees and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to use the net proceeds from the April 17, 2026 issuances of the New 6.125% 2034 Notes and the New Tranche N terms loans, along with cash on hand, to fund the purchase price of the expected acquisition of Stellant and for general corporate purposes, including replenishment on our balance sheet of a portion of the cash used to fund the common stock repurchases (refer to Note 5, “Stock Repurchase Program”) and for related transaction fees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reporting period, TD Group makes an estimate of its annual effective income tax rate. The estimate used in the year-to-date period may change in subsequent periods.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thirteen week periods ended March 28, 2026 and March 29, 2025, the effective income tax rate was 23.4% and 23.0%, respectively. During the twenty-six week periods ended March 28, 2026 and March 29, 2025, the effective income tax rate was 22.9% and 21.7%, respectively. The Company’s higher effective income tax rate for the thirteen and twenty-six week periods ended March 28, 2026, was primarily due to a less significant benefit associated with share-based payments when compared to the same period in fiscal 2025. The Company's effective income tax rate for the thirteen and twenty-six week periods ended March 28, 2026 was higher than the federal statutory rate of 21% primarily due to an increase in the valuation allowance applicable to the Company’s net interest deduction limitation, a higher effective tax rate on non-U.S. earnings, partially offset by the discrete impact of excess tax benefits associated with share-based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file income tax returns in the U.S. federal jurisdiction and various state, local and foreign jurisdictions. The Company is no longer subject to U.S. federal examinations for years before fiscal 2022. The Company is currently under examination for its federal income taxes in Canada for fiscal years 2013 through 2019, in France for fiscal years 2020 through 2022, and in Germany for fiscal years 2017 through 2019. In addition, the Company is subject to state income tax examinations for fiscal years 2015 and later.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Unrecognized tax benefits at March 28, 2026 and September 30, 2025 were not material.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referred to as the One Big Beautiful Bill Act (the “Act”) was signed into law. It contains a broad range of tax reform provisions affecting businesses. The majority of these provisions will impact us starting in fiscal year 2027. We continue to evaluate the future effects of the Act on our effective tax rate and cash tax position. The impact of the legislation on our operating results for the thirteen and twenty-six week periods ended March 28, 2026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assets and liabilities that are measured at fair value on a recurring basis and are categorized using the fair value hierarchy. The fair value hierarchy has three levels based on the reliability of the inputs used to determine fair value. Level 1 inputs are quoted prices (unadjusted) in active markets for identical assets or liabilities. Level 2 inputs are quoted prices for similar assets and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A financial asset or liability’s classification within the hierarchy is determined based on the lowest level input that is significant to the fair value measurement.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carrying amounts and fair values of financial instruments (in millions):</w:t>
      </w:r>
    </w:p>
    <w:tbl>
      <w:tblPr>
        <w:tblW w:w="10205" w:type="dxa"/>
        <w:jc w:val="left"/>
        <w:tblInd w:w="0" w:type="dxa"/>
        <w:tblLayout w:type="fixed"/>
        <w:tblCellMar>
          <w:top w:w="28" w:type="dxa"/>
          <w:left w:w="28" w:type="dxa"/>
          <w:bottom w:w="28" w:type="dxa"/>
          <w:right w:w="28" w:type="dxa"/>
        </w:tblCellMar>
      </w:tblPr>
      <w:tblGrid>
        <w:gridCol w:w="1685"/>
        <w:gridCol w:w="1457"/>
        <w:gridCol w:w="1468"/>
        <w:gridCol w:w="165"/>
        <w:gridCol w:w="165"/>
        <w:gridCol w:w="16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68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4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agreements </w:t>
            </w:r>
            <w:r>
              <w:rPr>
                <w:rFonts w:ascii="Times New Roman;serif" w:hAnsi="Times New Roman;serif"/>
                <w:b w:val="false"/>
                <w:color w:val="000000"/>
                <w:sz w:val="13"/>
              </w:rPr>
              <w:t>(1)</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(1)</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agreements </w:t>
            </w:r>
            <w:r>
              <w:rPr>
                <w:rFonts w:ascii="Times New Roman;serif" w:hAnsi="Times New Roman;serif"/>
                <w:b w:val="false"/>
                <w:color w:val="000000"/>
                <w:sz w:val="13"/>
              </w:rPr>
              <w:t>(2)</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(2)</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exchange contracts </w:t>
            </w:r>
            <w:r>
              <w:rPr>
                <w:rFonts w:ascii="Times New Roman;serif" w:hAnsi="Times New Roman;serif"/>
                <w:b w:val="false"/>
                <w:color w:val="000000"/>
                <w:sz w:val="13"/>
              </w:rPr>
              <w:t>(3)</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(4)</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Short-term borrowings - trade receivable securitization facility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debt, including current portion:</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Term loans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4.625% 2029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2029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4.875% 2029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2030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2031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2033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6.375% 2033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2034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6.750% 2034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Initial 6.125% 2034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refundable advances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prepaid expenses and other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non-current assets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accrued and other current liabilities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Included in other non-current liabilities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 xml:space="preserve">The carrying amount of the debt instrument is presented net of debt issuance costs and original issue discount.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values its financial instruments using an industry standard market approach, in which prices and other relevant information are generated by market transactions involving identical or comparable assets or liabilities. No financial instruments were recognized or disclosed using unobservable inputs (i.e.,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derivatives consist of interest rate swap and collar agreements and foreign currency exchange contracts. The fair values of the interest rate swap and collar agreements were derived by taking the net present value of the expected cash flows using observable market inputs (Level 2) such as SOFR rate curves, futures, volatilities and basis spreads (when applicable). The fair values of the foreign currency exchange contracts were derived by using Level 2 inputs based on observable spot and forward exchange rates in active markets. There has not been any impact to the fair value of derivative liabilities due to the Company's own credit risk. Similarly, there has not been any material impact to the fair value of derivative assets based on the Company's evaluation of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term loans was based on information provided by the agent under the Company’s Credit Agreement. The estimated fair values of the Company’s notes were based upon quoted market prices.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cash and cash equivalents, trade accounts receivable-net and accounts payable approximated carrying value due to the short-term nature of these instruments at March 28, 2026 and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DERIVATIVES AND HEDGING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exposed to, among other things, the impact of changes in foreign currency exchange rates and interest rates in the normal course of business. The Company’s risk management program is designed to manage the exposure and volatility arising from these risks, and utilizes derivative financial instruments to offset a portion of these risks. The Company uses derivative financial instruments only to the extent necessary to hedge identified business risks and does not enter into such transactions for trading purposes. The Company generally does not require collateral or other security with counterparties to these financial instruments and is therefore subject to credit risk in the event of nonperformance; however, the Company monitors credit risk and currently does not anticipate nonperformance by other parties. These derivative financial instruments do not subject the Company to undue risk, as gains and losses on these instruments generally offset gains and losses on the underlying assets, liabilities, or anticipated transactions that are being hedged. The Company has agreements with each of its swap, cap and collar counterparties that contain a provision whereby if the Company defaults on the Credit Agreement, the Company could also be declared in default on its swaps, cap and collars resulting in an acceleration of settlement under the swaps, cap and collars.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derivative financial instruments are recorded at fair value in the condensed consolidated balance sheets. For a derivative that has not been designated as an accounting hedge, the change in the fair value is recognized immediately through earnings. For a derivative that has been designated as an accounting hedge of an existing asset or liability (a fair value hedge), the change in the fair value of both the derivative and underlying asset or liability is recognized immediately through earnings. For a derivative designated as an accounting hedge of an anticipated transaction (a cash flow hedge), the change in the fair value is recorded on the condensed consolidated balance sheets in accumulated other comprehensive loss to the extent the derivative is effective in mitigating the exposure related to the anticipated transaction. The change in the fair value related to the ineffective portion of the hedge, if any, is immediately recognized in earnings. The amount recorded within accumulated other comprehensive loss is reclassified into earnings in the same period during which the underlying hedged transaction affects earnings.</w:t>
      </w:r>
    </w:p>
    <w:p>
      <w:pPr>
        <w:pStyle w:val="TextBody"/>
        <w:bidi w:val="0"/>
        <w:spacing w:lineRule="auto" w:line="288" w:before="120" w:after="283"/>
        <w:jc w:val="both"/>
        <w:rPr/>
      </w:pPr>
      <w:r>
        <w:rPr>
          <w:rFonts w:ascii="Times New Roman;serif" w:hAnsi="Times New Roman;serif"/>
          <w:b/>
          <w:i/>
          <w:color w:val="000000"/>
          <w:sz w:val="20"/>
        </w:rPr>
        <w:t xml:space="preserve">Interest Rate Swap, Cap and Collar Agreements </w:t>
      </w:r>
      <w:r>
        <w:rPr>
          <w:color w:val="000000"/>
        </w:rPr>
        <w:t xml:space="preserve">– </w:t>
      </w:r>
      <w:r>
        <w:rPr>
          <w:rFonts w:ascii="Times New Roman;serif" w:hAnsi="Times New Roman;serif"/>
          <w:b w:val="false"/>
          <w:color w:val="000000"/>
          <w:sz w:val="20"/>
        </w:rPr>
        <w:t xml:space="preserve">Interest rate swap, cap and collar agreements are used to manage interest rate risk associated with floating rate borrowings, specifically the term loans, under our Credit Agreement. These agreements involve the receipt of floating rate amounts in exchange for fixed rate interest payments over the term of the agreements without an exchange of the underlying principal amount. The agreements utilized by the Company effectively modify the Company’s exposure to interest rate risk by converting a portion of the Company’s floating rate debt to a fixed rate basis from the effective date through the maturity date of the respective interest rate swap, cap and collar agreements, thereby reducing the impact of interest rate movements on future interest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2025, we entered into forward starting interest rate collar agreements and interest rate swap agreements. The interest rate collar agreements, aggregating to a notional amount of $2,750 million, establish a range where we will pay the counterparties if the elected tenor's Term SOFR rate falls below the established floor rate, and the counterparties will pay us if the elected tenor's Term SOFR rate exceeds the ceiling rate as summarized in the table below. The collar will settle quarterly from the effective date through the maturity date. No payments or receipts will be exchanged on the interest rate collar contracts unless interest rates rise above or fall below the contracted ceiling or floor rates. The interest rate swap agreements hedge the variable interest rates on the Company's floating rate debt exposures for a fixed rate based on an aggregate notional amount of $2,750 million. The swap will settle quarterly from the effective date through the maturity date. The Company does not have any interest rate cap agreements as of March 28,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summarize the key terms of the swaps and collars as of March 28, 2026 (aggregated by effective date).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rate swap agreements:</w:t>
      </w:r>
    </w:p>
    <w:tbl>
      <w:tblPr>
        <w:tblW w:w="10205" w:type="dxa"/>
        <w:jc w:val="left"/>
        <w:tblInd w:w="0" w:type="dxa"/>
        <w:tblLayout w:type="fixed"/>
        <w:tblCellMar>
          <w:top w:w="28" w:type="dxa"/>
          <w:left w:w="28" w:type="dxa"/>
          <w:bottom w:w="28" w:type="dxa"/>
          <w:right w:w="28" w:type="dxa"/>
        </w:tblCellMar>
      </w:tblPr>
      <w:tblGrid>
        <w:gridCol w:w="888"/>
        <w:gridCol w:w="780"/>
        <w:gridCol w:w="783"/>
        <w:gridCol w:w="109"/>
        <w:gridCol w:w="109"/>
        <w:gridCol w:w="109"/>
        <w:gridCol w:w="341"/>
        <w:gridCol w:w="341"/>
        <w:gridCol w:w="343"/>
        <w:gridCol w:w="109"/>
        <w:gridCol w:w="109"/>
        <w:gridCol w:w="109"/>
        <w:gridCol w:w="346"/>
        <w:gridCol w:w="346"/>
        <w:gridCol w:w="348"/>
        <w:gridCol w:w="109"/>
        <w:gridCol w:w="109"/>
        <w:gridCol w:w="109"/>
        <w:gridCol w:w="1385"/>
        <w:gridCol w:w="1368"/>
        <w:gridCol w:w="1955"/>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of Related Variable Rate Debt subject to Term SOFR to Fixed Rate of:</w:t>
            </w:r>
          </w:p>
        </w:tc>
      </w:tr>
      <w:tr>
        <w:trPr/>
        <w:tc>
          <w:tcPr>
            <w:tcW w:w="24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 plus applicable margin percentage</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 plus applicable margin percentage</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 plus applicable margin percentage</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3.14% plus applicable margin percentage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rate collar agreements:</w:t>
      </w:r>
    </w:p>
    <w:tbl>
      <w:tblPr>
        <w:tblW w:w="10205" w:type="dxa"/>
        <w:jc w:val="left"/>
        <w:tblInd w:w="0" w:type="dxa"/>
        <w:tblLayout w:type="fixed"/>
        <w:tblCellMar>
          <w:top w:w="28" w:type="dxa"/>
          <w:left w:w="28" w:type="dxa"/>
          <w:bottom w:w="28" w:type="dxa"/>
          <w:right w:w="28" w:type="dxa"/>
        </w:tblCellMar>
      </w:tblPr>
      <w:tblGrid>
        <w:gridCol w:w="931"/>
        <w:gridCol w:w="818"/>
        <w:gridCol w:w="821"/>
        <w:gridCol w:w="109"/>
        <w:gridCol w:w="109"/>
        <w:gridCol w:w="109"/>
        <w:gridCol w:w="348"/>
        <w:gridCol w:w="348"/>
        <w:gridCol w:w="350"/>
        <w:gridCol w:w="109"/>
        <w:gridCol w:w="109"/>
        <w:gridCol w:w="109"/>
        <w:gridCol w:w="353"/>
        <w:gridCol w:w="353"/>
        <w:gridCol w:w="355"/>
        <w:gridCol w:w="109"/>
        <w:gridCol w:w="109"/>
        <w:gridCol w:w="109"/>
        <w:gridCol w:w="1351"/>
        <w:gridCol w:w="1315"/>
        <w:gridCol w:w="1881"/>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Offsets Variable Rate Debt Attributable to Fluctuations Below and Above:</w:t>
            </w:r>
          </w:p>
        </w:tc>
      </w:tr>
      <w:tr>
        <w:trPr/>
        <w:tc>
          <w:tcPr>
            <w:tcW w:w="25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3.50% (cap)</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2.50% (floor) and 4.50%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3.91% (cap)</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2.50% (floor) and 4.50%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2.21% (floor) and 4.25% (cap)</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derivative instruments qualify as effective cash flow hedges under U.S. GAAP. For our cash flow hedges, the effective portion of the gain or loss from the financial instruments is initially reported as a component of accumulated other comprehensive loss in stockholders’ deficit and subsequently reclassified into earnings in the same line as the hedged item in the same period or periods during which the hedged item affects earnings. As the interest rate swap, cap and collar agreements are used to manage interest rate risk, any gains or losses from the derivative instruments that are reclassified into earnings are recognized in interest expense-net in the condensed consolidated statements of income. Cash flows related to the derivative contracts are included in cash flows from operating activities on the condensed consolidated statements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derivative asset and liability balances are offset where master netting agreements provide for the legal right of setoff. For classification purposes, we record the net fair value of each type of derivative position that is expected to settle in less than one year with each counterparty as a net current asset or liability and each type of long-term position as a net non-current asset or liability. The amounts shown in the table below represent the gross amounts of recognized assets and liabilities, the amounts offset in the condensed consolidated balance sheets and the net amounts of assets and liabilities presented therein (in millions): </w:t>
      </w:r>
    </w:p>
    <w:tbl>
      <w:tblPr>
        <w:tblW w:w="10205" w:type="dxa"/>
        <w:jc w:val="left"/>
        <w:tblInd w:w="0" w:type="dxa"/>
        <w:tblLayout w:type="fixed"/>
        <w:tblCellMar>
          <w:top w:w="28" w:type="dxa"/>
          <w:left w:w="28" w:type="dxa"/>
          <w:bottom w:w="28" w:type="dxa"/>
          <w:right w:w="28" w:type="dxa"/>
        </w:tblCellMar>
      </w:tblPr>
      <w:tblGrid>
        <w:gridCol w:w="2191"/>
        <w:gridCol w:w="1922"/>
        <w:gridCol w:w="1929"/>
        <w:gridCol w:w="109"/>
        <w:gridCol w:w="109"/>
        <w:gridCol w:w="109"/>
        <w:gridCol w:w="211"/>
        <w:gridCol w:w="361"/>
        <w:gridCol w:w="109"/>
        <w:gridCol w:w="109"/>
        <w:gridCol w:w="109"/>
        <w:gridCol w:w="109"/>
        <w:gridCol w:w="211"/>
        <w:gridCol w:w="406"/>
        <w:gridCol w:w="109"/>
        <w:gridCol w:w="109"/>
        <w:gridCol w:w="109"/>
        <w:gridCol w:w="109"/>
        <w:gridCol w:w="211"/>
        <w:gridCol w:w="361"/>
        <w:gridCol w:w="109"/>
        <w:gridCol w:w="109"/>
        <w:gridCol w:w="109"/>
        <w:gridCol w:w="109"/>
        <w:gridCol w:w="260"/>
        <w:gridCol w:w="315"/>
        <w:gridCol w:w="192"/>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6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collar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derivatives as classified in the condensed consolidated balance sheets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Refer to Note 10, “Fair Value Measurements,” for the condensed consolidated balance sheets classification of the Company's interest rate swap and collar agreements.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fair value amounts determined as of March 28, 2026, the estimated net amount of existing losses (gains) and caplet amortization expected to be reclassified into interest expense-net within the next twelve months is approximately $3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Subsequent Event – New Interest Rate Collars – </w:t>
      </w:r>
      <w:r>
        <w:rPr>
          <w:rFonts w:ascii="Times New Roman;serif" w:hAnsi="Times New Roman;serif"/>
          <w:b w:val="false"/>
          <w:color w:val="000000"/>
          <w:sz w:val="20"/>
        </w:rPr>
        <w:t xml:space="preserve">In April 2026, the Company entered into new interest rate collar agreements aggregating to a notional amount of $800 million with an effective date of June 30, 2026 and maturity date of September 30, 2030. The rate floor is 2.50% and cap is 4.50%. The terms are similar to the Company's existing interest rate collar agreements. </w:t>
      </w:r>
    </w:p>
    <w:p>
      <w:pPr>
        <w:pStyle w:val="TextBody"/>
        <w:bidi w:val="0"/>
        <w:spacing w:lineRule="auto" w:line="288" w:before="120" w:after="283"/>
        <w:jc w:val="both"/>
        <w:rPr/>
      </w:pPr>
      <w:r>
        <w:rPr>
          <w:rFonts w:ascii="Times New Roman;serif" w:hAnsi="Times New Roman;serif"/>
          <w:b/>
          <w:i/>
          <w:color w:val="000000"/>
          <w:sz w:val="20"/>
        </w:rPr>
        <w:t xml:space="preserve">Foreign Currency Forward Exchange Contracts </w:t>
      </w:r>
      <w:r>
        <w:rPr>
          <w:color w:val="000000"/>
        </w:rPr>
        <w:t xml:space="preserve">– </w:t>
      </w:r>
      <w:r>
        <w:rPr>
          <w:rFonts w:ascii="Times New Roman;serif" w:hAnsi="Times New Roman;serif"/>
          <w:b w:val="false"/>
          <w:color w:val="000000"/>
          <w:sz w:val="20"/>
        </w:rPr>
        <w:t>The Company transacts business in various foreign currencies, which subjects the Company’s cash flows and earnings to exposure related to changes in foreign currency exchange rates. These exposures arise primarily from purchases or sales of products and services from third parties.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 At March 28, 2026, the Company has outstanding foreign currency forward exchange contracts to sell U.S. dollars with notional amounts of $61 million. The maximum duration of the Company’s foreign currency cash flow hedge contracts at March 28, 2026 is six months. These notional values consist of contracts for the Canadian dollar and the euro and are stated in U.S. dollar equivalents at spot exchange rates at the respective trade dates. Amounts related to foreign currency forward exchange contracts included in accumulated other comprehensive loss in stockholders' deficit are reclassified into net sales when the hedged transaction settles. As of March 28, 2026, the Company expects to record a net loss of approximately $2 million on foreign currency forward exchange contracts designated as cash flow hedges to net sales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SEGMENTS</w:t>
      </w:r>
    </w:p>
    <w:p>
      <w:pPr>
        <w:pStyle w:val="TextBody"/>
        <w:bidi w:val="0"/>
        <w:spacing w:lineRule="auto" w:line="288" w:before="120" w:after="283"/>
        <w:jc w:val="both"/>
        <w:rPr/>
      </w:pPr>
      <w:r>
        <w:rPr>
          <w:rFonts w:ascii="Times New Roman;serif" w:hAnsi="Times New Roman;serif"/>
          <w:b w:val="false"/>
          <w:color w:val="000000"/>
          <w:sz w:val="20"/>
        </w:rPr>
        <w:t xml:space="preserve">The Company’s businesses are organized and managed in three reporting segments: Power &amp; Control, Airframe and Non-aviation. Refer to Note 15, “Segments,” in Part IV, Item 15. </w:t>
      </w:r>
      <w:r>
        <w:rPr>
          <w:rFonts w:ascii="Times New Roman;serif" w:hAnsi="Times New Roman;serif"/>
          <w:b w:val="false"/>
          <w:i/>
          <w:color w:val="000000"/>
          <w:sz w:val="20"/>
        </w:rPr>
        <w:t>Exhibits and Financial Statement Schedules</w:t>
      </w:r>
      <w:r>
        <w:rPr>
          <w:rFonts w:ascii="Times New Roman;serif" w:hAnsi="Times New Roman;serif"/>
          <w:b w:val="false"/>
          <w:color w:val="000000"/>
          <w:sz w:val="20"/>
        </w:rPr>
        <w:t>, of our Annual Report on Form 10-K for the fiscal year ended September 30, 2025, filed on November 12, 2025, for further information on the composition of the Company's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segments are reported on the same basis used internally by our Chief Operating Decision Maker (“CODM”) for evaluating performance and for allocating resources. The Company’s CODM is collectively the President and Chief Executive Officer and Co-Chief Operating Officers. The primary measurement used internally by our CODM and management to review and assess the operating performance of each segment is EBITDA As Defined. Actual results are compared to plan, forecast and prior year on a monthly basis. The Company defines EBITDA As Defined as earnings before interest, taxes, depreciation and amortization plus certain non-operating items recorded as corporate expenses including non-cash compensation charges incurred in connection with the Company’s stock incentive or deferred compensation plans, foreign currency gains and losses, acquisition-integration costs, acquisition transaction-related expenses, and refinancing costs. Acquisition transaction and integration-related expenses represent costs incurred to integrate acquired businesses into TD Group’s operations; facility relocation costs and other acquisition-related costs; transaction and valuation-related costs for acquisitions comprising deal fees, legal, financial and tax due diligence expenses; amortization expense of inventory step-up recorded in connection with the purchase accounting of acquired businesses.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EBITDA As Defined is not a measurement of financial performance under U.S. GAAP. Although the Company uses EBITDA As Defined to assess the performance of its business and for various other purposes, the use of this non-GAAP financial measure as an analytical tool has limitations, and it should not be considered in isolation or as a substitute for analysis of the Company’s results of operations as reported in accordance with U.S. GAAP.</w:t>
      </w:r>
    </w:p>
    <w:p>
      <w:pPr>
        <w:pStyle w:val="TextBody"/>
        <w:bidi w:val="0"/>
        <w:spacing w:lineRule="auto" w:line="288" w:before="120" w:after="283"/>
        <w:jc w:val="both"/>
        <w:rPr/>
      </w:pPr>
      <w:r>
        <w:rPr>
          <w:rFonts w:ascii="Times New Roman;serif" w:hAnsi="Times New Roman;serif"/>
          <w:b w:val="false"/>
          <w:color w:val="000000"/>
          <w:sz w:val="20"/>
        </w:rPr>
        <w:t xml:space="preserve">The accounting policies for each segment are the same as those described in Note 1, “Summary of Significant Accounting Policies,” in Part IV, Item 15. </w:t>
      </w:r>
      <w:r>
        <w:rPr>
          <w:rFonts w:ascii="Times New Roman;serif" w:hAnsi="Times New Roman;serif"/>
          <w:b w:val="false"/>
          <w:i/>
          <w:color w:val="000000"/>
          <w:sz w:val="20"/>
        </w:rPr>
        <w:t>Exhibits and Financial Statement Schedules</w:t>
      </w:r>
      <w:r>
        <w:rPr>
          <w:rFonts w:ascii="Times New Roman;serif" w:hAnsi="Times New Roman;serif"/>
          <w:b w:val="false"/>
          <w:color w:val="000000"/>
          <w:sz w:val="20"/>
        </w:rPr>
        <w:t>, of our Annual Report on Form 10-K for the fiscal year ended September 30, 2025, filed on November 12, 2025. Intersegment sales and transfers are recorded at values based on market prices, which creates intercompany profit on intersegment sales or transfers that is eliminated in consolidation. Intersegment sales were immaterial for the periods presented below. Corporate consists of our corporate offices. Corporate expenses consist primarily of compensation, benefits, professional services and other administrative costs incurred by the corporate offices. Corporate assets consist primarily of cash and cash equivalents. Corporate expenses and assets reconcile reportable segment data to the consolidated totals. An immaterial amount of corporate expenses is allocated to the operating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for the periods indicated, certain financial information by reportable segment, which includes a reconciliation of EBITDA As Defined to consolidated income from continuing operations before income taxes (in millions): </w:t>
      </w:r>
    </w:p>
    <w:tbl>
      <w:tblPr>
        <w:tblW w:w="10186" w:type="dxa"/>
        <w:jc w:val="left"/>
        <w:tblInd w:w="0" w:type="dxa"/>
        <w:tblLayout w:type="fixed"/>
        <w:tblCellMar>
          <w:top w:w="28" w:type="dxa"/>
          <w:left w:w="28" w:type="dxa"/>
          <w:bottom w:w="28" w:type="dxa"/>
          <w:right w:w="28" w:type="dxa"/>
        </w:tblCellMar>
      </w:tblPr>
      <w:tblGrid>
        <w:gridCol w:w="1748"/>
        <w:gridCol w:w="1537"/>
        <w:gridCol w:w="1545"/>
        <w:gridCol w:w="109"/>
        <w:gridCol w:w="109"/>
        <w:gridCol w:w="109"/>
        <w:gridCol w:w="365"/>
        <w:gridCol w:w="809"/>
        <w:gridCol w:w="191"/>
        <w:gridCol w:w="109"/>
        <w:gridCol w:w="109"/>
        <w:gridCol w:w="109"/>
        <w:gridCol w:w="211"/>
        <w:gridCol w:w="466"/>
        <w:gridCol w:w="109"/>
        <w:gridCol w:w="109"/>
        <w:gridCol w:w="109"/>
        <w:gridCol w:w="109"/>
        <w:gridCol w:w="355"/>
        <w:gridCol w:w="355"/>
        <w:gridCol w:w="356"/>
        <w:gridCol w:w="109"/>
        <w:gridCol w:w="109"/>
        <w:gridCol w:w="109"/>
        <w:gridCol w:w="211"/>
        <w:gridCol w:w="46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 Period Ended March 28, 2026</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and acquisition transaction and integration-related expenses.</w:t>
      </w:r>
    </w:p>
    <w:tbl>
      <w:tblPr>
        <w:tblW w:w="10205" w:type="dxa"/>
        <w:jc w:val="left"/>
        <w:tblInd w:w="0" w:type="dxa"/>
        <w:tblLayout w:type="fixed"/>
        <w:tblCellMar>
          <w:top w:w="28" w:type="dxa"/>
          <w:left w:w="28" w:type="dxa"/>
          <w:bottom w:w="28" w:type="dxa"/>
          <w:right w:w="28" w:type="dxa"/>
        </w:tblCellMar>
      </w:tblPr>
      <w:tblGrid>
        <w:gridCol w:w="1721"/>
        <w:gridCol w:w="1493"/>
        <w:gridCol w:w="1501"/>
        <w:gridCol w:w="109"/>
        <w:gridCol w:w="109"/>
        <w:gridCol w:w="109"/>
        <w:gridCol w:w="360"/>
        <w:gridCol w:w="798"/>
        <w:gridCol w:w="188"/>
        <w:gridCol w:w="109"/>
        <w:gridCol w:w="109"/>
        <w:gridCol w:w="109"/>
        <w:gridCol w:w="211"/>
        <w:gridCol w:w="466"/>
        <w:gridCol w:w="109"/>
        <w:gridCol w:w="109"/>
        <w:gridCol w:w="109"/>
        <w:gridCol w:w="109"/>
        <w:gridCol w:w="355"/>
        <w:gridCol w:w="355"/>
        <w:gridCol w:w="356"/>
        <w:gridCol w:w="109"/>
        <w:gridCol w:w="109"/>
        <w:gridCol w:w="109"/>
        <w:gridCol w:w="211"/>
        <w:gridCol w:w="616"/>
        <w:gridCol w:w="157"/>
      </w:tblGrid>
      <w:tr>
        <w:trPr/>
        <w:tc>
          <w:tcPr>
            <w:tcW w:w="17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 Ended March 28, 2026</w:t>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acquisition transaction and integration-related expenses and payroll withholding taxes related to dividend equivalent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21"/>
        <w:gridCol w:w="1493"/>
        <w:gridCol w:w="1501"/>
        <w:gridCol w:w="109"/>
        <w:gridCol w:w="109"/>
        <w:gridCol w:w="109"/>
        <w:gridCol w:w="360"/>
        <w:gridCol w:w="798"/>
        <w:gridCol w:w="188"/>
        <w:gridCol w:w="109"/>
        <w:gridCol w:w="109"/>
        <w:gridCol w:w="109"/>
        <w:gridCol w:w="211"/>
        <w:gridCol w:w="466"/>
        <w:gridCol w:w="109"/>
        <w:gridCol w:w="109"/>
        <w:gridCol w:w="109"/>
        <w:gridCol w:w="109"/>
        <w:gridCol w:w="355"/>
        <w:gridCol w:w="355"/>
        <w:gridCol w:w="356"/>
        <w:gridCol w:w="109"/>
        <w:gridCol w:w="109"/>
        <w:gridCol w:w="109"/>
        <w:gridCol w:w="211"/>
        <w:gridCol w:w="616"/>
        <w:gridCol w:w="157"/>
      </w:tblGrid>
      <w:tr>
        <w:trPr/>
        <w:tc>
          <w:tcPr>
            <w:tcW w:w="17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 Period Ended March 29, 2025</w:t>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and acquisition transaction and integration-related expenses.</w:t>
      </w:r>
    </w:p>
    <w:tbl>
      <w:tblPr>
        <w:tblW w:w="10205" w:type="dxa"/>
        <w:jc w:val="left"/>
        <w:tblInd w:w="0" w:type="dxa"/>
        <w:tblLayout w:type="fixed"/>
        <w:tblCellMar>
          <w:top w:w="28" w:type="dxa"/>
          <w:left w:w="28" w:type="dxa"/>
          <w:bottom w:w="28" w:type="dxa"/>
          <w:right w:w="28" w:type="dxa"/>
        </w:tblCellMar>
      </w:tblPr>
      <w:tblGrid>
        <w:gridCol w:w="1721"/>
        <w:gridCol w:w="1493"/>
        <w:gridCol w:w="1501"/>
        <w:gridCol w:w="109"/>
        <w:gridCol w:w="109"/>
        <w:gridCol w:w="109"/>
        <w:gridCol w:w="360"/>
        <w:gridCol w:w="798"/>
        <w:gridCol w:w="188"/>
        <w:gridCol w:w="109"/>
        <w:gridCol w:w="109"/>
        <w:gridCol w:w="109"/>
        <w:gridCol w:w="211"/>
        <w:gridCol w:w="466"/>
        <w:gridCol w:w="109"/>
        <w:gridCol w:w="109"/>
        <w:gridCol w:w="109"/>
        <w:gridCol w:w="109"/>
        <w:gridCol w:w="355"/>
        <w:gridCol w:w="355"/>
        <w:gridCol w:w="356"/>
        <w:gridCol w:w="109"/>
        <w:gridCol w:w="109"/>
        <w:gridCol w:w="109"/>
        <w:gridCol w:w="211"/>
        <w:gridCol w:w="616"/>
        <w:gridCol w:w="157"/>
      </w:tblGrid>
      <w:tr>
        <w:trPr/>
        <w:tc>
          <w:tcPr>
            <w:tcW w:w="17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 Ended March 29, 2025</w:t>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acquisition transaction and integration-related expenses and payroll withholding taxes related to dividend equivalent payments.</w:t>
      </w:r>
    </w:p>
    <w:p>
      <w:pPr>
        <w:pStyle w:val="TextBody"/>
        <w:bidi w:val="0"/>
        <w:spacing w:before="60" w:after="283"/>
        <w:jc w:val="both"/>
        <w:rPr/>
      </w:pPr>
      <w:r>
        <w:rPr/>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and depreciation and amortization by segment (in millions):</w:t>
      </w:r>
    </w:p>
    <w:tbl>
      <w:tblPr>
        <w:tblW w:w="8976" w:type="dxa"/>
        <w:jc w:val="left"/>
        <w:tblInd w:w="0" w:type="dxa"/>
        <w:tblLayout w:type="fixed"/>
        <w:tblCellMar>
          <w:top w:w="28" w:type="dxa"/>
          <w:left w:w="28" w:type="dxa"/>
          <w:bottom w:w="28" w:type="dxa"/>
          <w:right w:w="28" w:type="dxa"/>
        </w:tblCellMar>
      </w:tblPr>
      <w:tblGrid>
        <w:gridCol w:w="989"/>
        <w:gridCol w:w="868"/>
        <w:gridCol w:w="872"/>
        <w:gridCol w:w="338"/>
        <w:gridCol w:w="747"/>
        <w:gridCol w:w="174"/>
        <w:gridCol w:w="139"/>
        <w:gridCol w:w="139"/>
        <w:gridCol w:w="139"/>
        <w:gridCol w:w="390"/>
        <w:gridCol w:w="668"/>
        <w:gridCol w:w="201"/>
        <w:gridCol w:w="109"/>
        <w:gridCol w:w="109"/>
        <w:gridCol w:w="109"/>
        <w:gridCol w:w="338"/>
        <w:gridCol w:w="748"/>
        <w:gridCol w:w="174"/>
        <w:gridCol w:w="140"/>
        <w:gridCol w:w="140"/>
        <w:gridCol w:w="140"/>
        <w:gridCol w:w="331"/>
        <w:gridCol w:w="733"/>
        <w:gridCol w:w="241"/>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assets by segment (in millions):</w:t>
      </w:r>
    </w:p>
    <w:tbl>
      <w:tblPr>
        <w:tblW w:w="4661" w:type="dxa"/>
        <w:jc w:val="left"/>
        <w:tblInd w:w="0" w:type="dxa"/>
        <w:tblLayout w:type="fixed"/>
        <w:tblCellMar>
          <w:top w:w="28" w:type="dxa"/>
          <w:left w:w="28" w:type="dxa"/>
          <w:bottom w:w="28" w:type="dxa"/>
          <w:right w:w="28" w:type="dxa"/>
        </w:tblCellMar>
      </w:tblPr>
      <w:tblGrid>
        <w:gridCol w:w="536"/>
        <w:gridCol w:w="472"/>
        <w:gridCol w:w="476"/>
        <w:gridCol w:w="255"/>
        <w:gridCol w:w="873"/>
        <w:gridCol w:w="132"/>
        <w:gridCol w:w="109"/>
        <w:gridCol w:w="109"/>
        <w:gridCol w:w="109"/>
        <w:gridCol w:w="309"/>
        <w:gridCol w:w="1056"/>
        <w:gridCol w:w="225"/>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2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(1)</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25,442 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Corporate consists of our corporate offices and does not constitute an operating segment. These amounts are included to reconcile to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ACCUMULATED OTHER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total changes by component in accumulated other comprehensive loss (“AOCL”), net of taxes, for the twenty-six week periods ended March 28, 2026 and March 29, 2025 (in millions): </w:t>
      </w:r>
    </w:p>
    <w:tbl>
      <w:tblPr>
        <w:tblW w:w="10205" w:type="dxa"/>
        <w:jc w:val="left"/>
        <w:tblInd w:w="0" w:type="dxa"/>
        <w:tblLayout w:type="fixed"/>
        <w:tblCellMar>
          <w:top w:w="28" w:type="dxa"/>
          <w:left w:w="28" w:type="dxa"/>
          <w:bottom w:w="28" w:type="dxa"/>
          <w:right w:w="28" w:type="dxa"/>
        </w:tblCellMar>
      </w:tblPr>
      <w:tblGrid>
        <w:gridCol w:w="1180"/>
        <w:gridCol w:w="864"/>
        <w:gridCol w:w="866"/>
        <w:gridCol w:w="505"/>
        <w:gridCol w:w="868"/>
        <w:gridCol w:w="264"/>
        <w:gridCol w:w="109"/>
        <w:gridCol w:w="109"/>
        <w:gridCol w:w="109"/>
        <w:gridCol w:w="759"/>
        <w:gridCol w:w="977"/>
        <w:gridCol w:w="394"/>
        <w:gridCol w:w="109"/>
        <w:gridCol w:w="109"/>
        <w:gridCol w:w="109"/>
        <w:gridCol w:w="416"/>
        <w:gridCol w:w="1037"/>
        <w:gridCol w:w="215"/>
        <w:gridCol w:w="109"/>
        <w:gridCol w:w="109"/>
        <w:gridCol w:w="109"/>
        <w:gridCol w:w="211"/>
        <w:gridCol w:w="509"/>
        <w:gridCol w:w="159"/>
      </w:tblGrid>
      <w:tr>
        <w:trPr/>
        <w:tc>
          <w:tcPr>
            <w:tcW w:w="118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Unrealized gains (losses) on derivatives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Pension and post-retirement benefit plans adjustment </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Foreign currency translation adjustment </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current-period other comprehensive income (loss) </w:t>
            </w:r>
            <w:r>
              <w:rPr>
                <w:rFonts w:ascii="Times New Roman;serif" w:hAnsi="Times New Roman;serif"/>
                <w:b w:val="false"/>
                <w:color w:val="000000"/>
                <w:sz w:val="13"/>
              </w:rPr>
              <w:t>(4)</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current-period other comprehensive loss </w:t>
            </w:r>
            <w:r>
              <w:rPr>
                <w:rFonts w:ascii="Times New Roman;serif" w:hAnsi="Times New Roman;serif"/>
                <w:b w:val="false"/>
                <w:color w:val="000000"/>
                <w:sz w:val="13"/>
              </w:rPr>
              <w:t>(4)</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5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Represents unrealized gains (losses) on derivatives designated and qualifying as cash flow hedges, net of tax (expense) benefit, of $5 million and $8 million for the thirteen week periods ended March 28, 2026 and March 29, 2025, respectively, and $7 million and $1 million for the twenty-six week periods ended March 28, 2026 and March 29, 2025, respectively.</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There were no material pension liability adjustments, net of taxes, related to activity for the defined pension plans and postretirement benefit plans for the thirteen and twenty-six week periods ended March 28, 2026 and March 29, 2025.</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Represents gains (losses) resulting from foreign currency translation of financial statements, including gains (losses) from certain intercompany transactions, into U.S. dollars at the rates of exchange in effect at the balance sheet dates. </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Presented net of reclassifications out of AOCL into earnings, specifically net sales and interest expense-net, for realized (losses) gains on derivatives designated and qualifying as cash flow hedges of $7 million (net of taxes of $2 million) and $(1) million (net of taxes of less than $(1) million), respectively, for the twenty-six week period ended March 28, 2026 and $(1) million (net of taxes of less than $(1) million) and $18 million (net of taxes of $6 million), respectively, for the twenty-six week period ended March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the Company’s financial condition and results of operations should be read together with TD Group’s condensed consolidated financial statements and the related notes included elsewhere in this Quarterly Report on Form 10-Q. References in this section to “TransDigm,” “the Company,” “we,” “us,” “our,” and similar references refer to TD Group, TransDigm Inc. and TransDigm Inc.’s subsidiaries, unless the context otherwise indicates.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both historical and “forward-looking statements” within the meaning of Section 21E of the Securities Exchange Act of 1934, as amended (the “Exchange Act”), and 27A of the Securities Act of 1933, as amended. All statements other than statements of historical fact included that address activities, events or developments that we expect, believe or anticipate will or may occur in the future are forward-looking statements, including, in particular, the statements about our plans, objectives, strategies and prospects regarding, among other things, our financial condition, results of operations and business. We have identified some of these forward-looking statements with words like “believe,” “may,” “will,” “should,” “expect,” “intend,” “plan,” “predict,” “anticipate,” “estimate” or “continue” and other words and terms of similar meaning. These forward-looking statements may be contained throughout this Quarterly Report on Form 10-Q. These forward-looking statements are based on current expectations about future events affecting us and are subject to uncertainties and factors relating to, among other things, our operations and business environment, all of which are difficult to predict and many of which are beyond our control. Although we believe that the expectations reflected in these forward-looking statements are reasonable, we do not know whether our expectations will prove correct. They can be affected by inaccurate assumptions we might make or by known or unknown risks and uncertainties, including the risks described in Item 1A, “Risk Factors,” of the Annual Report on Form 10-K. Since our actual results, performance or achievements could differ materially from those expressed in, or implied by, these forward-looking statements, we cannot give any assurance that any of the events anticipated by these forward-looking statements will occur or, if any of them does occur, what impact they will have on our business, results of operations and financial condition. You are cautioned not to place undue reliance on these forward-looking statements, which speak only as of the date they are made. We do not undertake any obligation to update these forward-looking statements or the risk factors contained in this Quarterly Report on Form 10-Q to reflect new information, future events or otherwise, except as may be required under federal securities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that could cause actual results to differ materially from the forward-looking statements made in this Quarterly Report on Form 10-Q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Refer to Part II, Item 1A included in this Quarterly Report on Form 10-Q and to Part I, Item 1A of the Annual Report on Form 10-K for additional information regarding the foregoing factors that may affect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we are a leading global designer, producer and supplier of highly engineered proprietary aerospace components with significant aftermarket content. We seek to develop highly customized products to solve specific needs for aircraft operators and manufacturers. We attempt to differentiate ourselves based on engineering, service and manufacturing capabilities. We believe that our products have strong brand names within the industry and that we have a reputation for high quality, reliability and strong customer support. We believe we have achieved steady, long-term growth in sales and improvements in operating performance due to our competitive strengths and through execution of our value-driven operating strategy. More specifically, focusing our businesses on our value-driven operating strategy of obtaining profitable new business, carefully controlling the cost structure via productivity and cost improvements and pricing our highly engineered value-added products to fairly reflect the value we provide and the resources required to do so has historically resulted in improvements in gross profit and income from operations over the long-term.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selective acquisition strategy has also been an important contribution to the growth of our business. We maintain a selective acquisition strategy, concentrating on proprietary commercial aerospace component businesses with significant aftermarket content where we see a clear path to value creation through the application of our three core value drivers. The integration of acquisitions into our existing businesses combined with implementing our proven operating strategy has historically resulted in improvements in the financial performance of the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fiscal 2026, we generated net sales of $2,544 million and net income attributable to TD Group of $535 million. EBITDA As Defined was $1,337 million, or 52.6% of net sales. Refer to the “Non-GAAP Financial Measures” section for certain information regarding EBITDA and EBITDA As Defined, including reconciliations of EBITDA and EBITDA As Defined to net income and net cash provided by operating activities.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first half of fiscal 2026, demand for air travel remained strong both domestically and internationally. Commercial aftermarket sales increased in the first half of fiscal 2026 compared to fiscal 2025 primarily due to the overall demand for air travel - both domestic and international. Passenger load factors remain strong.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transport original equipment manufacturer (“OEM”) shipments and revenues generally run ahead of aircraft delivery schedules. Consistent with prior years, our first half of fiscal 2026 shipments were a function of, among other things, the estimated 2025 and 2026 commercial aircraft production rates for Boeing and Airbus. Airline demand for new aircraft remains high and the OEMs continue to increase aircraft production. Commercial OEM sales increased in the first half of fiscal 2026 compared to fiscal 2025 partially due to the prior year Boeing union strike adversely impacting fiscal 2025 OEM sales, as well as overall increases beginning in the latter half of fiscal 2025 and thus far in fiscal 2026 in aircraft production and deliveries by the OEMs.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business fluctuates from year-to-year, and is dependent, to a degree, on government budget constraints, the timing of orders, macro and micro dynamics with respect to the U.S. Department of War (“DOW”) procurement policy and the extent of global conflicts. Likewise, delays in government spending outlays and government funding reprioritization can impact demand. For a variety of reasons, the military spending outlook is very uncertain, though recent DOW budgets have trended upwards due to recent geopolitical challenge and conflicts, and current military modernization efforts. Defense sales increased in the first half of fiscal 2026 compared to fiscal 2025 primarily due to continued growth in defense spending in both domestic and international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ongoing conflict in the Middle East could lead to significant disruption of global energy supplies and increases in global energy prices, adversely affect global supply chains, heighten inflationary pressures and adversely affect commercial air travel. To date, we have not seen a significant change in commercial aftermarket ordering activity relative to levels prior to the start of the conflict. We are continuing to monitor the evolving macroeconomic environment, however at this time we do not expect these factors to result in a material adverse effect on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and fair presentation of the consolidated unaudited interim financial statements and accompanying notes included in this report are the responsibility of management. The financial statements and footnotes have been prepared in conformity with generally accepted accounting principles in the United States (“U.S. GAAP”) for interim financial statements and contain certain amounts that were based upon management’s best estimates, judgments and assumptions that were believed to be reasonable under the circumstances. On an ongoing basis, we evaluate the accounting policies and estimates used to prepare financial statements. Estimates are based on historical experience, judgments and assumptions believed to be reasonable under current facts and circumstances. Actual amounts and results could differ from these estimates used by management.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comprehensive discussion of the Company’s critical accounting policies and management estimates and significant accounting policies followed in the preparation of the financial statements is included in Part II, Item 7 of our Annual Report on Form 10-K for the fiscal year ended September 30, 2025, filed on November 12, 2025. Refer to Note 1, “Basis of Presentation,” in the notes to the condensed consolidated financial statements included herein for further disclosure of accounting standards recently adopted or required to be adopted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Recent acquisitions are described in Note 2, “Acquisitions,” in the notes to the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certain operating data of the Company, including presentation of the amounts as a percentage of net sales (amounts in millions, except per share data):</w:t>
      </w:r>
    </w:p>
    <w:tbl>
      <w:tblPr>
        <w:tblW w:w="10205" w:type="dxa"/>
        <w:jc w:val="left"/>
        <w:tblInd w:w="0" w:type="dxa"/>
        <w:tblLayout w:type="fixed"/>
        <w:tblCellMar>
          <w:top w:w="28" w:type="dxa"/>
          <w:left w:w="28" w:type="dxa"/>
          <w:bottom w:w="28" w:type="dxa"/>
          <w:right w:w="28" w:type="dxa"/>
        </w:tblCellMar>
      </w:tblPr>
      <w:tblGrid>
        <w:gridCol w:w="1744"/>
        <w:gridCol w:w="1468"/>
        <w:gridCol w:w="1492"/>
        <w:gridCol w:w="241"/>
        <w:gridCol w:w="706"/>
        <w:gridCol w:w="124"/>
        <w:gridCol w:w="109"/>
        <w:gridCol w:w="109"/>
        <w:gridCol w:w="109"/>
        <w:gridCol w:w="308"/>
        <w:gridCol w:w="308"/>
        <w:gridCol w:w="539"/>
        <w:gridCol w:w="109"/>
        <w:gridCol w:w="109"/>
        <w:gridCol w:w="109"/>
        <w:gridCol w:w="241"/>
        <w:gridCol w:w="706"/>
        <w:gridCol w:w="124"/>
        <w:gridCol w:w="109"/>
        <w:gridCol w:w="109"/>
        <w:gridCol w:w="109"/>
        <w:gridCol w:w="308"/>
        <w:gridCol w:w="308"/>
        <w:gridCol w:w="607"/>
      </w:tblGrid>
      <w:tr>
        <w:trPr/>
        <w:tc>
          <w:tcPr>
            <w:tcW w:w="174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28,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29, 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TD Group common stockholders: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50" w:type="dxa"/>
            <w:gridSpan w:val="6"/>
            <w:tcBorders/>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48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outstanding—basic and diluted</w:t>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Data:</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Net income applicable to TD Group common stockholders represents net income attributable to TD Group less special dividends declared or paid on participating securities, including dividend equivalents. No special dividends were declared or paid on participating securities, including dividend equivalent payments, for the thirteen week periods ended March 28, 2026 and March 29, 2025. </w:t>
      </w:r>
    </w:p>
    <w:p>
      <w:pPr>
        <w:pStyle w:val="TextBody"/>
        <w:bidi w:val="0"/>
        <w:spacing w:lineRule="auto" w:line="288" w:before="6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Earnings per share is calculated by dividing net income applicable to TD Group common stockholders by the basic and diluted weighted average common shares outstanding. Figures in the table may not recalculate exactly due to rounding. Earnings per share is calculated using unrounded numbers. </w:t>
      </w:r>
    </w:p>
    <w:p>
      <w:pPr>
        <w:pStyle w:val="TextBody"/>
        <w:bidi w:val="0"/>
        <w:spacing w:lineRule="auto" w:line="288" w:before="6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44"/>
        <w:gridCol w:w="1468"/>
        <w:gridCol w:w="1492"/>
        <w:gridCol w:w="241"/>
        <w:gridCol w:w="706"/>
        <w:gridCol w:w="124"/>
        <w:gridCol w:w="109"/>
        <w:gridCol w:w="109"/>
        <w:gridCol w:w="109"/>
        <w:gridCol w:w="308"/>
        <w:gridCol w:w="308"/>
        <w:gridCol w:w="539"/>
        <w:gridCol w:w="109"/>
        <w:gridCol w:w="109"/>
        <w:gridCol w:w="109"/>
        <w:gridCol w:w="241"/>
        <w:gridCol w:w="706"/>
        <w:gridCol w:w="124"/>
        <w:gridCol w:w="109"/>
        <w:gridCol w:w="109"/>
        <w:gridCol w:w="109"/>
        <w:gridCol w:w="308"/>
        <w:gridCol w:w="308"/>
        <w:gridCol w:w="607"/>
      </w:tblGrid>
      <w:tr>
        <w:trPr/>
        <w:tc>
          <w:tcPr>
            <w:tcW w:w="174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29,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6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6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TD Group common stockholders: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50" w:type="dxa"/>
            <w:gridSpan w:val="6"/>
            <w:tcBorders/>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48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155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outstanding—basic and diluted</w:t>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Data:</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Net income applicable to TD Group common stockholders represents net income attributable to TD Group less special dividends declared or paid on participating securities, including dividend equivalent payments of $59 million and $49 million for the twenty-six week periods ended March 28, 2026 and March 29, 2025, respectively. </w:t>
      </w:r>
    </w:p>
    <w:p>
      <w:pPr>
        <w:pStyle w:val="TextBody"/>
        <w:bidi w:val="0"/>
        <w:spacing w:lineRule="auto" w:line="288" w:before="6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Earnings per share is calculated by dividing net income applicable to TD Group common stockholders by the basic and diluted weighted average common shares outstanding. Figures in the table may not recalculate exactly due to rounding. Earnings per share is calculated using unrounded numbers.</w:t>
      </w:r>
    </w:p>
    <w:p>
      <w:pPr>
        <w:pStyle w:val="TextBody"/>
        <w:bidi w:val="0"/>
        <w:spacing w:lineRule="auto" w:line="288" w:before="6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Thirteen week period ended March 28, 2026 compared with the thirteen week period ended March 29, 2025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Total Company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organic sales and acquisition sales and the related dollar and percentage changes for the thirteen week periods ended March 28, 2026 and</w:t>
      </w:r>
      <w:r>
        <w:rPr>
          <w:color w:val="000000"/>
        </w:rPr>
        <w:t xml:space="preserve"> </w:t>
      </w:r>
      <w:r>
        <w:rPr>
          <w:rFonts w:ascii="Times New Roman;serif" w:hAnsi="Times New Roman;serif"/>
          <w:b w:val="false"/>
          <w:color w:val="000000"/>
          <w:sz w:val="20"/>
        </w:rPr>
        <w:t xml:space="preserve">March 29, 2025 were as follows (amounts in millions): </w:t>
      </w:r>
    </w:p>
    <w:tbl>
      <w:tblPr>
        <w:tblW w:w="6867" w:type="dxa"/>
        <w:jc w:val="left"/>
        <w:tblInd w:w="0" w:type="dxa"/>
        <w:tblLayout w:type="fixed"/>
        <w:tblCellMar>
          <w:top w:w="28" w:type="dxa"/>
          <w:left w:w="28" w:type="dxa"/>
          <w:bottom w:w="28" w:type="dxa"/>
          <w:right w:w="28" w:type="dxa"/>
        </w:tblCellMar>
      </w:tblPr>
      <w:tblGrid>
        <w:gridCol w:w="548"/>
        <w:gridCol w:w="482"/>
        <w:gridCol w:w="485"/>
        <w:gridCol w:w="284"/>
        <w:gridCol w:w="830"/>
        <w:gridCol w:w="145"/>
        <w:gridCol w:w="113"/>
        <w:gridCol w:w="113"/>
        <w:gridCol w:w="113"/>
        <w:gridCol w:w="284"/>
        <w:gridCol w:w="830"/>
        <w:gridCol w:w="145"/>
        <w:gridCol w:w="109"/>
        <w:gridCol w:w="109"/>
        <w:gridCol w:w="109"/>
        <w:gridCol w:w="211"/>
        <w:gridCol w:w="466"/>
        <w:gridCol w:w="109"/>
        <w:gridCol w:w="109"/>
        <w:gridCol w:w="109"/>
        <w:gridCol w:w="109"/>
        <w:gridCol w:w="255"/>
        <w:gridCol w:w="256"/>
        <w:gridCol w:w="54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br/>
              <w:t>Net Sales</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sales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Organic sales represent net sales from existing businesses owned by the Company, excluding sales from acquisitions. Acquisition sales represent net sales from acquired businesses for the period up to one year from the respective acquisition date. We believe this measure provides investors with a supplemental understanding of underlying sales trends by providing sales growth on a consistent basis. Refer to Note 2, “Acquisitions,” in the notes to the condensed consolidated financial statements included herein for information on the Company's recent acquisitions.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organic sales of $238 million for the thirteen week period ended March 28, 2026 compared to the thirteen week period ended March 29, 2025 is related to increases in defense, commercial aftermarket and commercial OEM sales.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Cost of Sales and Gross Profit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Cost of sales increased by $157 million, or 17.9%, to $1,033 million for the thirteen week period ended March 28, 2026 compared to $876 million for the thirteen week period ended March 29, 2025. Cost of sales and the related percentage of net sales for the thirteen week periods ended March 28, 2026 and March 29, 2025 were as follows (amounts in millions):</w:t>
      </w:r>
    </w:p>
    <w:tbl>
      <w:tblPr>
        <w:tblW w:w="9826" w:type="dxa"/>
        <w:jc w:val="left"/>
        <w:tblInd w:w="0" w:type="dxa"/>
        <w:tblLayout w:type="fixed"/>
        <w:tblCellMar>
          <w:top w:w="28" w:type="dxa"/>
          <w:left w:w="28" w:type="dxa"/>
          <w:bottom w:w="28" w:type="dxa"/>
          <w:right w:w="28" w:type="dxa"/>
        </w:tblCellMar>
      </w:tblPr>
      <w:tblGrid>
        <w:gridCol w:w="1560"/>
        <w:gridCol w:w="1369"/>
        <w:gridCol w:w="1376"/>
        <w:gridCol w:w="242"/>
        <w:gridCol w:w="707"/>
        <w:gridCol w:w="311"/>
        <w:gridCol w:w="109"/>
        <w:gridCol w:w="109"/>
        <w:gridCol w:w="109"/>
        <w:gridCol w:w="242"/>
        <w:gridCol w:w="707"/>
        <w:gridCol w:w="311"/>
        <w:gridCol w:w="109"/>
        <w:gridCol w:w="109"/>
        <w:gridCol w:w="109"/>
        <w:gridCol w:w="211"/>
        <w:gridCol w:w="466"/>
        <w:gridCol w:w="109"/>
        <w:gridCol w:w="109"/>
        <w:gridCol w:w="109"/>
        <w:gridCol w:w="109"/>
        <w:gridCol w:w="343"/>
        <w:gridCol w:w="347"/>
        <w:gridCol w:w="54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excluding costs below</w:t>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(Net sales less Total cost of sales)</w:t>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percentage (Gross profit / Net sales)</w:t>
            </w:r>
          </w:p>
        </w:tc>
        <w:tc>
          <w:tcPr>
            <w:tcW w:w="94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during the thirteen week period ended March 28, 2026 decreased as a percentage of net sales. This was primarily driven by the application of our three core value-driven operating strategy (obtaining profitable new business, continually improving our cost structure and providing highly engineered value-added products to customers) coupled with fixed overhead costs spread over a higher production volume; partially offset by the dilutive impact of the recent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Selling and Administrative Expenses.</w:t>
      </w:r>
      <w:r>
        <w:rPr>
          <w:color w:val="000000"/>
        </w:rPr>
        <w:t xml:space="preserve"> </w:t>
      </w:r>
      <w:r>
        <w:rPr>
          <w:rFonts w:ascii="Times New Roman;serif" w:hAnsi="Times New Roman;serif"/>
          <w:b w:val="false"/>
          <w:color w:val="000000"/>
          <w:sz w:val="20"/>
        </w:rPr>
        <w:t>Selling and administrative expenses increased by $37 million to $273 million for the thirteen week period ended March 28, 2026. The related percentage of net sales for the thirteen week periods ended March 28, 2026 and March 29, 2025 were as follows (amounts in millions):</w:t>
      </w:r>
    </w:p>
    <w:tbl>
      <w:tblPr>
        <w:tblW w:w="10205" w:type="dxa"/>
        <w:jc w:val="left"/>
        <w:tblInd w:w="0" w:type="dxa"/>
        <w:tblLayout w:type="fixed"/>
        <w:tblCellMar>
          <w:top w:w="28" w:type="dxa"/>
          <w:left w:w="28" w:type="dxa"/>
          <w:bottom w:w="28" w:type="dxa"/>
          <w:right w:w="28" w:type="dxa"/>
        </w:tblCellMar>
      </w:tblPr>
      <w:tblGrid>
        <w:gridCol w:w="1785"/>
        <w:gridCol w:w="1558"/>
        <w:gridCol w:w="1562"/>
        <w:gridCol w:w="277"/>
        <w:gridCol w:w="615"/>
        <w:gridCol w:w="357"/>
        <w:gridCol w:w="111"/>
        <w:gridCol w:w="111"/>
        <w:gridCol w:w="111"/>
        <w:gridCol w:w="277"/>
        <w:gridCol w:w="615"/>
        <w:gridCol w:w="357"/>
        <w:gridCol w:w="109"/>
        <w:gridCol w:w="109"/>
        <w:gridCol w:w="109"/>
        <w:gridCol w:w="211"/>
        <w:gridCol w:w="361"/>
        <w:gridCol w:w="109"/>
        <w:gridCol w:w="109"/>
        <w:gridCol w:w="109"/>
        <w:gridCol w:w="109"/>
        <w:gridCol w:w="290"/>
        <w:gridCol w:w="293"/>
        <w:gridCol w:w="551"/>
      </w:tblGrid>
      <w:tr>
        <w:trPr/>
        <w:tc>
          <w:tcPr>
            <w:tcW w:w="178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 excluding costs below</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and administrative expenses</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expenses as a percentage of net sales for the thirteen week period ended March 28, 2026 decreased as a percentage of net sales primarily due to the decrease in non-cash stock and deferred compensation expense; partially offset by the impact of higher net sales, higher research and development and general and administrative expenses.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Interest Expense-net.</w:t>
      </w:r>
      <w:r>
        <w:rPr>
          <w:color w:val="000000"/>
        </w:rPr>
        <w:t xml:space="preserve"> </w:t>
      </w:r>
      <w:r>
        <w:rPr>
          <w:rFonts w:ascii="Times New Roman;serif" w:hAnsi="Times New Roman;serif"/>
          <w:b w:val="false"/>
          <w:color w:val="000000"/>
          <w:sz w:val="20"/>
        </w:rPr>
        <w:t xml:space="preserve">Interest expense-net includes interest on borrowings outstanding, amortization of debt issuance costs, original issue discount, revolving credit facility fees, finance leases, interest income and the impact of interest rate swaps and collars designated and qualifying as cash flow hedges. Interest expense-net increased $106 million, or 28.0%, to $484 million for the thirteen week period ended March 28, 2026 from $378 million for the comparable thirteen week period in the prior fiscal year. The increase in interest expense-net was primarily due to an increase in outstanding borrowings. The weighted average interest rate for cash interest payments on total borrowings outstanding was 6.2% and 6.1% for the thirteen week periods ended March 28, 2026 and March 29, 2025, respectively.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 xml:space="preserve">Income tax expense as a percentage of income before income taxes was approximately 23.4% for the thirteen week period ended March 28, 2026 compared to 23.0% for the thirteen week period ended March 29, 2025. Refer to Note 9, “Income Taxes”, in the notes to the condensed consolidated financial statements included herein for additional information.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Earnings per Share.</w:t>
      </w:r>
      <w:r>
        <w:rPr>
          <w:color w:val="000000"/>
        </w:rPr>
        <w:t xml:space="preserve"> </w:t>
      </w:r>
      <w:r>
        <w:rPr>
          <w:rFonts w:ascii="Times New Roman;serif" w:hAnsi="Times New Roman;serif"/>
          <w:b w:val="false"/>
          <w:color w:val="000000"/>
          <w:sz w:val="20"/>
        </w:rPr>
        <w:t xml:space="preserve">Basic and diluted earnings per share was $9.20 for the thirteen week period ended March 28, 2026 and $8.24 for the thirteen week period ended March 29, 2025.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Segment 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sales by segment for the thirteen week periods ended March 28, 2026 and March 29, 2025 were as follows (amounts in millions):</w:t>
      </w:r>
    </w:p>
    <w:tbl>
      <w:tblPr>
        <w:tblW w:w="10012" w:type="dxa"/>
        <w:jc w:val="left"/>
        <w:tblInd w:w="0" w:type="dxa"/>
        <w:tblLayout w:type="fixed"/>
        <w:tblCellMar>
          <w:top w:w="28" w:type="dxa"/>
          <w:left w:w="28" w:type="dxa"/>
          <w:bottom w:w="28" w:type="dxa"/>
          <w:right w:w="28" w:type="dxa"/>
        </w:tblCellMar>
      </w:tblPr>
      <w:tblGrid>
        <w:gridCol w:w="537"/>
        <w:gridCol w:w="472"/>
        <w:gridCol w:w="475"/>
        <w:gridCol w:w="284"/>
        <w:gridCol w:w="829"/>
        <w:gridCol w:w="146"/>
        <w:gridCol w:w="109"/>
        <w:gridCol w:w="109"/>
        <w:gridCol w:w="109"/>
        <w:gridCol w:w="312"/>
        <w:gridCol w:w="304"/>
        <w:gridCol w:w="651"/>
        <w:gridCol w:w="109"/>
        <w:gridCol w:w="109"/>
        <w:gridCol w:w="109"/>
        <w:gridCol w:w="284"/>
        <w:gridCol w:w="829"/>
        <w:gridCol w:w="146"/>
        <w:gridCol w:w="109"/>
        <w:gridCol w:w="109"/>
        <w:gridCol w:w="109"/>
        <w:gridCol w:w="312"/>
        <w:gridCol w:w="304"/>
        <w:gridCol w:w="651"/>
        <w:gridCol w:w="109"/>
        <w:gridCol w:w="109"/>
        <w:gridCol w:w="109"/>
        <w:gridCol w:w="211"/>
        <w:gridCol w:w="466"/>
        <w:gridCol w:w="109"/>
        <w:gridCol w:w="109"/>
        <w:gridCol w:w="109"/>
        <w:gridCol w:w="109"/>
        <w:gridCol w:w="255"/>
        <w:gridCol w:w="256"/>
        <w:gridCol w:w="54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for the Power &amp; Control segment increased $258 million primarily from increases in sales in defense, commercial aftermarket and commercial OEM.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Airframe segment increased $131 million primarily from increases in sales in commercial aftermarket, defense and commercial OEM.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EBITDA As Defined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 EBITDA As Defined by segment for the thirteen week periods ended March 28, 2026 and March 29, 2025 were as follows (amounts in millions):</w:t>
      </w:r>
    </w:p>
    <w:tbl>
      <w:tblPr>
        <w:tblW w:w="10205" w:type="dxa"/>
        <w:jc w:val="left"/>
        <w:tblInd w:w="0" w:type="dxa"/>
        <w:tblLayout w:type="fixed"/>
        <w:tblCellMar>
          <w:top w:w="28" w:type="dxa"/>
          <w:left w:w="28" w:type="dxa"/>
          <w:bottom w:w="28" w:type="dxa"/>
          <w:right w:w="28" w:type="dxa"/>
        </w:tblCellMar>
      </w:tblPr>
      <w:tblGrid>
        <w:gridCol w:w="1001"/>
        <w:gridCol w:w="880"/>
        <w:gridCol w:w="884"/>
        <w:gridCol w:w="233"/>
        <w:gridCol w:w="683"/>
        <w:gridCol w:w="120"/>
        <w:gridCol w:w="109"/>
        <w:gridCol w:w="109"/>
        <w:gridCol w:w="109"/>
        <w:gridCol w:w="255"/>
        <w:gridCol w:w="256"/>
        <w:gridCol w:w="454"/>
        <w:gridCol w:w="109"/>
        <w:gridCol w:w="109"/>
        <w:gridCol w:w="109"/>
        <w:gridCol w:w="233"/>
        <w:gridCol w:w="683"/>
        <w:gridCol w:w="120"/>
        <w:gridCol w:w="109"/>
        <w:gridCol w:w="109"/>
        <w:gridCol w:w="109"/>
        <w:gridCol w:w="255"/>
        <w:gridCol w:w="256"/>
        <w:gridCol w:w="454"/>
        <w:gridCol w:w="109"/>
        <w:gridCol w:w="109"/>
        <w:gridCol w:w="109"/>
        <w:gridCol w:w="211"/>
        <w:gridCol w:w="466"/>
        <w:gridCol w:w="109"/>
        <w:gridCol w:w="109"/>
        <w:gridCol w:w="109"/>
        <w:gridCol w:w="109"/>
        <w:gridCol w:w="255"/>
        <w:gridCol w:w="256"/>
        <w:gridCol w:w="506"/>
      </w:tblGrid>
      <w:tr>
        <w:trPr/>
        <w:tc>
          <w:tcPr>
            <w:tcW w:w="10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29,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r>
      <w:tr>
        <w:trPr/>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Unallocated corporate EBITDA As Defined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 EBITDA As Defined</w:t>
            </w:r>
          </w:p>
        </w:tc>
        <w:tc>
          <w:tcPr>
            <w:tcW w:w="2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Calculated as a percentage of consolidated net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As Defined for the Power &amp; Control and Airframe segments increased $98 million and $84 million, respectively, due to the increase in net sales described above, along with our application of our three core value-driven operating strategy.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Unallocated corporate EBITDA As Defined consists primarily of corporate expenses which includes compensation, benefits, professional services and other administrative costs incurred by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rFonts w:ascii="Times New Roman;serif" w:hAnsi="Times New Roman;serif"/>
          <w:b/>
          <w:color w:val="000000"/>
          <w:sz w:val="20"/>
        </w:rPr>
      </w:pPr>
      <w:r>
        <w:rPr>
          <w:rFonts w:ascii="Times New Roman;serif" w:hAnsi="Times New Roman;serif"/>
          <w:b/>
          <w:color w:val="000000"/>
          <w:sz w:val="20"/>
        </w:rPr>
        <w:t xml:space="preserve">Twenty-six week period ended March 28, 2026 compared with the twenty-six week period ended March 29, 2025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Total Company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organic sales and acquisition sales and the related dollar and percentage changes for the twenty-six week periods ended March 28, 2026 and March 29, 2025 were as follows (amounts in millions):</w:t>
      </w:r>
    </w:p>
    <w:tbl>
      <w:tblPr>
        <w:tblW w:w="6891" w:type="dxa"/>
        <w:jc w:val="left"/>
        <w:tblInd w:w="0" w:type="dxa"/>
        <w:tblLayout w:type="fixed"/>
        <w:tblCellMar>
          <w:top w:w="28" w:type="dxa"/>
          <w:left w:w="28" w:type="dxa"/>
          <w:bottom w:w="28" w:type="dxa"/>
          <w:right w:w="28" w:type="dxa"/>
        </w:tblCellMar>
      </w:tblPr>
      <w:tblGrid>
        <w:gridCol w:w="548"/>
        <w:gridCol w:w="482"/>
        <w:gridCol w:w="485"/>
        <w:gridCol w:w="284"/>
        <w:gridCol w:w="830"/>
        <w:gridCol w:w="145"/>
        <w:gridCol w:w="121"/>
        <w:gridCol w:w="121"/>
        <w:gridCol w:w="121"/>
        <w:gridCol w:w="284"/>
        <w:gridCol w:w="830"/>
        <w:gridCol w:w="145"/>
        <w:gridCol w:w="109"/>
        <w:gridCol w:w="109"/>
        <w:gridCol w:w="109"/>
        <w:gridCol w:w="211"/>
        <w:gridCol w:w="466"/>
        <w:gridCol w:w="109"/>
        <w:gridCol w:w="109"/>
        <w:gridCol w:w="109"/>
        <w:gridCol w:w="109"/>
        <w:gridCol w:w="255"/>
        <w:gridCol w:w="256"/>
        <w:gridCol w:w="54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br/>
              <w:t>Net Sales</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sales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Organic sales represent net sales from existing businesses owned by the Company, excluding sales from acquisitions. Acquisition sales represent net sales from acquired businesses for the period up to one year from the respective acquisition date. We believe this measure provides investors with a supplemental understanding of underlying sales trends by providing sales growth on a consistent basis. Refer to Note 2, “Acquisitions,” in the notes to the condensed consolidated financial statements included herein for information on the Company's recent acquisitions.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organic sales of $386 million for the twenty-six week period ended March 28, 2026 compared to the twenty-six week period ended March 29, 2025 is related to increases in defense, commercial aftermarket and commercial OEM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Cost of Sales and Gross Profit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Cost of sales increased by $318 million, or 19.3%, to $1,965 million for the twenty-six week period ended March 28, 2026 compared to $1,647 million for the twenty-six week period ended March 29, 2025. Cost of sales and the related percentage of net sales for the twenty-six week periods ended March 28, 2026 and March 29, 2025 were as follows (amounts in millions):</w:t>
      </w:r>
    </w:p>
    <w:tbl>
      <w:tblPr>
        <w:tblW w:w="9752" w:type="dxa"/>
        <w:jc w:val="left"/>
        <w:tblInd w:w="0" w:type="dxa"/>
        <w:tblLayout w:type="fixed"/>
        <w:tblCellMar>
          <w:top w:w="28" w:type="dxa"/>
          <w:left w:w="28" w:type="dxa"/>
          <w:bottom w:w="28" w:type="dxa"/>
          <w:right w:w="28" w:type="dxa"/>
        </w:tblCellMar>
      </w:tblPr>
      <w:tblGrid>
        <w:gridCol w:w="1560"/>
        <w:gridCol w:w="1369"/>
        <w:gridCol w:w="1376"/>
        <w:gridCol w:w="242"/>
        <w:gridCol w:w="707"/>
        <w:gridCol w:w="311"/>
        <w:gridCol w:w="109"/>
        <w:gridCol w:w="109"/>
        <w:gridCol w:w="109"/>
        <w:gridCol w:w="242"/>
        <w:gridCol w:w="707"/>
        <w:gridCol w:w="311"/>
        <w:gridCol w:w="109"/>
        <w:gridCol w:w="109"/>
        <w:gridCol w:w="109"/>
        <w:gridCol w:w="211"/>
        <w:gridCol w:w="466"/>
        <w:gridCol w:w="109"/>
        <w:gridCol w:w="109"/>
        <w:gridCol w:w="109"/>
        <w:gridCol w:w="109"/>
        <w:gridCol w:w="306"/>
        <w:gridCol w:w="310"/>
        <w:gridCol w:w="54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excluding costs below</w:t>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(gains)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(Net sales less Total cost of sales)</w:t>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percentage (Gross profit / Net sales)</w:t>
            </w:r>
          </w:p>
        </w:tc>
        <w:tc>
          <w:tcPr>
            <w:tcW w:w="94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during the twenty-six week period ended March 28, 2026 increased as a percentage of net sales. This was primarily driven by the dilutive impact of the recent acquisitions. Excluding the dilutive impact from these acquisitions, cost of sales as a percentage of net sales decreased due to the application of our three core value-driven operating strategy (obtaining profitable new business, continually improving our cost structure and providing highly engineered value-added products to customers) coupled with fixed overhead costs spread over a higher production volume.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Selling and Administrative Expenses.</w:t>
      </w:r>
      <w:r>
        <w:rPr>
          <w:color w:val="000000"/>
        </w:rPr>
        <w:t xml:space="preserve"> </w:t>
      </w:r>
      <w:r>
        <w:rPr>
          <w:rFonts w:ascii="Times New Roman;serif" w:hAnsi="Times New Roman;serif"/>
          <w:b w:val="false"/>
          <w:color w:val="000000"/>
          <w:sz w:val="20"/>
        </w:rPr>
        <w:t>Selling and administrative expenses increased by $80 million to $527 million for the twenty-six week period ended March 28, 2026. The related percentage of net sales for the twenty-six week periods ended March 28, 2026 and March 29, 2025 were as follows (amounts in millions):</w:t>
      </w:r>
    </w:p>
    <w:tbl>
      <w:tblPr>
        <w:tblW w:w="10205" w:type="dxa"/>
        <w:jc w:val="left"/>
        <w:tblInd w:w="0" w:type="dxa"/>
        <w:tblLayout w:type="fixed"/>
        <w:tblCellMar>
          <w:top w:w="28" w:type="dxa"/>
          <w:left w:w="28" w:type="dxa"/>
          <w:bottom w:w="28" w:type="dxa"/>
          <w:right w:w="28" w:type="dxa"/>
        </w:tblCellMar>
      </w:tblPr>
      <w:tblGrid>
        <w:gridCol w:w="1779"/>
        <w:gridCol w:w="1552"/>
        <w:gridCol w:w="1556"/>
        <w:gridCol w:w="277"/>
        <w:gridCol w:w="613"/>
        <w:gridCol w:w="356"/>
        <w:gridCol w:w="119"/>
        <w:gridCol w:w="119"/>
        <w:gridCol w:w="119"/>
        <w:gridCol w:w="277"/>
        <w:gridCol w:w="613"/>
        <w:gridCol w:w="356"/>
        <w:gridCol w:w="109"/>
        <w:gridCol w:w="109"/>
        <w:gridCol w:w="109"/>
        <w:gridCol w:w="211"/>
        <w:gridCol w:w="361"/>
        <w:gridCol w:w="109"/>
        <w:gridCol w:w="109"/>
        <w:gridCol w:w="109"/>
        <w:gridCol w:w="109"/>
        <w:gridCol w:w="289"/>
        <w:gridCol w:w="292"/>
        <w:gridCol w:w="553"/>
      </w:tblGrid>
      <w:tr>
        <w:trPr/>
        <w:tc>
          <w:tcPr>
            <w:tcW w:w="177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 excluding costs below</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and administrative expenses</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as a percentage of net sales for the twenty-six week period ended March 28, 2026 increased as a percentage of net sales, compared to the twenty-six week period ended March 29, 2025 due to the impact of higher net sales, the recent acquisitions and higher research and development and general and administrative expenses. This was partially offset by lower non-cash stock and deferred compensation expense.</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i/>
          <w:color w:val="000000"/>
          <w:sz w:val="20"/>
        </w:rPr>
        <w:t>Interest Expense-net.</w:t>
      </w:r>
      <w:r>
        <w:rPr>
          <w:color w:val="000000"/>
        </w:rPr>
        <w:t xml:space="preserve"> </w:t>
      </w:r>
      <w:r>
        <w:rPr>
          <w:rFonts w:ascii="Times New Roman;serif" w:hAnsi="Times New Roman;serif"/>
          <w:b w:val="false"/>
          <w:color w:val="000000"/>
          <w:sz w:val="20"/>
        </w:rPr>
        <w:t>Interest expense-net includes interest on borrowings outstanding, amortization of debt issuance costs, original issue discount, revolving credit facility fees, finance leases, interest income and the impact of interest rate swaps and collars designated and qualifying as cash flow hedges. Interest expense-net increased $203 million, or 26.9%, to $959 million for the twenty-six week period ended March 28, 2026 from $756 million for the comparable twenty-six week period in the prior fiscal year. The increase in interest expense-net was primarily due to an increase in outstanding borrowings and a decrease in interest income. The weighted average interest rate for cash interest payments on total borrowings outstanding was 6.3% and 6.2% for the twenty-six week period ended March 28, 2026 and March 29,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 xml:space="preserve">Income tax expense as a percentage of income before income taxes was approximately 22.9% for the twenty-six week period ended March 28, 2026 compared to 21.7% for the twenty-six week period ended March 29, 2025. Refer to Note 9, “Income Taxes”, in the notes to the condensed consolidated financial statements included herein for additional information.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Earnings per Share.</w:t>
      </w:r>
      <w:r>
        <w:rPr>
          <w:color w:val="000000"/>
        </w:rPr>
        <w:t xml:space="preserve"> </w:t>
      </w:r>
      <w:r>
        <w:rPr>
          <w:rFonts w:ascii="Times New Roman;serif" w:hAnsi="Times New Roman;serif"/>
          <w:b w:val="false"/>
          <w:color w:val="000000"/>
          <w:sz w:val="20"/>
        </w:rPr>
        <w:t>Basic and diluted earnings per share was $15.82 for the twenty-six week period ended March 28, 2026 and $15.86 for the twenty-six week period ended March 29, 2025. Net income attributable to TD Group for the twenty-six week period ended March 28, 2026 of $980 million was decreased by dividend equivalent payments of $59 million, or $1.02 per share, resulting in net income applicable to TD Group common stockholders of $921 million. Net income attributable to TD Group for the twenty-six week period ended March 29, 2025 of $972 million was decreased by dividend equivalent payments of $49 million, or $0.83 per share, resulting in net income applicable to TD Group common stockholders of $923 million.</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Segment 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sales by segment for the twenty-six week periods ended March 28, 2026 and March 29, 2025 were as follows (amounts in millions):</w:t>
      </w:r>
    </w:p>
    <w:tbl>
      <w:tblPr>
        <w:tblW w:w="10012" w:type="dxa"/>
        <w:jc w:val="left"/>
        <w:tblInd w:w="0" w:type="dxa"/>
        <w:tblLayout w:type="fixed"/>
        <w:tblCellMar>
          <w:top w:w="28" w:type="dxa"/>
          <w:left w:w="28" w:type="dxa"/>
          <w:bottom w:w="28" w:type="dxa"/>
          <w:right w:w="28" w:type="dxa"/>
        </w:tblCellMar>
      </w:tblPr>
      <w:tblGrid>
        <w:gridCol w:w="537"/>
        <w:gridCol w:w="472"/>
        <w:gridCol w:w="475"/>
        <w:gridCol w:w="284"/>
        <w:gridCol w:w="829"/>
        <w:gridCol w:w="146"/>
        <w:gridCol w:w="109"/>
        <w:gridCol w:w="109"/>
        <w:gridCol w:w="109"/>
        <w:gridCol w:w="312"/>
        <w:gridCol w:w="304"/>
        <w:gridCol w:w="651"/>
        <w:gridCol w:w="109"/>
        <w:gridCol w:w="109"/>
        <w:gridCol w:w="109"/>
        <w:gridCol w:w="284"/>
        <w:gridCol w:w="829"/>
        <w:gridCol w:w="146"/>
        <w:gridCol w:w="109"/>
        <w:gridCol w:w="109"/>
        <w:gridCol w:w="109"/>
        <w:gridCol w:w="312"/>
        <w:gridCol w:w="304"/>
        <w:gridCol w:w="651"/>
        <w:gridCol w:w="109"/>
        <w:gridCol w:w="109"/>
        <w:gridCol w:w="109"/>
        <w:gridCol w:w="211"/>
        <w:gridCol w:w="466"/>
        <w:gridCol w:w="109"/>
        <w:gridCol w:w="109"/>
        <w:gridCol w:w="109"/>
        <w:gridCol w:w="109"/>
        <w:gridCol w:w="255"/>
        <w:gridCol w:w="256"/>
        <w:gridCol w:w="54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Power &amp; Control segment increased $456 million primarily from increases in sales in defense, commercial OEM and commercial aftermarket.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Airframe segment increased $204 million primarily from increases in sales in commercial OEM, commercial aftermarket and defense.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EBITDA As Defined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 EBITDA As Defined by segment for the twenty-six week periods ended March 28, 2026 and March 29, 2025 were as follows (amounts in millions):</w:t>
      </w:r>
    </w:p>
    <w:tbl>
      <w:tblPr>
        <w:tblW w:w="10205" w:type="dxa"/>
        <w:jc w:val="left"/>
        <w:tblInd w:w="0" w:type="dxa"/>
        <w:tblLayout w:type="fixed"/>
        <w:tblCellMar>
          <w:top w:w="28" w:type="dxa"/>
          <w:left w:w="28" w:type="dxa"/>
          <w:bottom w:w="28" w:type="dxa"/>
          <w:right w:w="28" w:type="dxa"/>
        </w:tblCellMar>
      </w:tblPr>
      <w:tblGrid>
        <w:gridCol w:w="989"/>
        <w:gridCol w:w="869"/>
        <w:gridCol w:w="873"/>
        <w:gridCol w:w="233"/>
        <w:gridCol w:w="681"/>
        <w:gridCol w:w="120"/>
        <w:gridCol w:w="109"/>
        <w:gridCol w:w="109"/>
        <w:gridCol w:w="109"/>
        <w:gridCol w:w="255"/>
        <w:gridCol w:w="256"/>
        <w:gridCol w:w="449"/>
        <w:gridCol w:w="109"/>
        <w:gridCol w:w="109"/>
        <w:gridCol w:w="109"/>
        <w:gridCol w:w="233"/>
        <w:gridCol w:w="681"/>
        <w:gridCol w:w="120"/>
        <w:gridCol w:w="109"/>
        <w:gridCol w:w="109"/>
        <w:gridCol w:w="109"/>
        <w:gridCol w:w="255"/>
        <w:gridCol w:w="256"/>
        <w:gridCol w:w="449"/>
        <w:gridCol w:w="109"/>
        <w:gridCol w:w="109"/>
        <w:gridCol w:w="109"/>
        <w:gridCol w:w="211"/>
        <w:gridCol w:w="466"/>
        <w:gridCol w:w="109"/>
        <w:gridCol w:w="109"/>
        <w:gridCol w:w="109"/>
        <w:gridCol w:w="109"/>
        <w:gridCol w:w="278"/>
        <w:gridCol w:w="281"/>
        <w:gridCol w:w="506"/>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29,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Unallocated corporate EBITDA As Defined</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 EBITDA As Defined</w:t>
            </w:r>
          </w:p>
        </w:tc>
        <w:tc>
          <w:tcPr>
            <w:tcW w:w="2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Calculated as a percentage of consolidated net sales.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As Defined for the Power &amp; Control and Airframe segments increased approximately $167 million and $118 million, respectively, due to the increase in net sales described above, along with our application of our three core value-driven operating strategy.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Unallocated corporate EBITDA As Defined consists primarily of corporate expenses which includes compensation, benefits, professional services and other administrative costs incurred by our corporate offices. The decrease from prior year is attributable to the expiration of a deferred compensation program that was not renewed.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historically maintained a capital structure comprising a mix of equity and debt financing. We vary our leverage both to optimize our equity return and to pursue acquisitions. We expect to meet our current debt obligations as they come due through internally generated funds from current levels of operations and/or through refinancing in the debt markets prior to the maturity dates of our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selected balance sheet, cash flow and other financial data relevant to the liquidity or capital resources of the Company for the periods specified below (amounts in millions):</w:t>
      </w:r>
    </w:p>
    <w:tbl>
      <w:tblPr>
        <w:tblW w:w="8545" w:type="dxa"/>
        <w:jc w:val="left"/>
        <w:tblInd w:w="0" w:type="dxa"/>
        <w:tblLayout w:type="fixed"/>
        <w:tblCellMar>
          <w:top w:w="28" w:type="dxa"/>
          <w:left w:w="28" w:type="dxa"/>
          <w:bottom w:w="28" w:type="dxa"/>
          <w:right w:w="28" w:type="dxa"/>
        </w:tblCellMar>
      </w:tblPr>
      <w:tblGrid>
        <w:gridCol w:w="1946"/>
        <w:gridCol w:w="1708"/>
        <w:gridCol w:w="1715"/>
        <w:gridCol w:w="284"/>
        <w:gridCol w:w="829"/>
        <w:gridCol w:w="146"/>
        <w:gridCol w:w="109"/>
        <w:gridCol w:w="109"/>
        <w:gridCol w:w="109"/>
        <w:gridCol w:w="342"/>
        <w:gridCol w:w="999"/>
        <w:gridCol w:w="249"/>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Balance Sheet Data:</w:t>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(Total current assets less total current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(1)</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 Group stockholders’ deficit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debt issuance costs and original issue discount. Reference Note 8, “Debt,” in the notes to the condensed consolidated financial statements included herein for additional information.</w:t>
      </w:r>
    </w:p>
    <w:tbl>
      <w:tblPr>
        <w:tblW w:w="6990" w:type="dxa"/>
        <w:jc w:val="left"/>
        <w:tblInd w:w="0" w:type="dxa"/>
        <w:tblLayout w:type="fixed"/>
        <w:tblCellMar>
          <w:top w:w="28" w:type="dxa"/>
          <w:left w:w="28" w:type="dxa"/>
          <w:bottom w:w="28" w:type="dxa"/>
          <w:right w:w="28" w:type="dxa"/>
        </w:tblCellMar>
      </w:tblPr>
      <w:tblGrid>
        <w:gridCol w:w="1450"/>
        <w:gridCol w:w="1273"/>
        <w:gridCol w:w="1282"/>
        <w:gridCol w:w="338"/>
        <w:gridCol w:w="748"/>
        <w:gridCol w:w="174"/>
        <w:gridCol w:w="140"/>
        <w:gridCol w:w="140"/>
        <w:gridCol w:w="140"/>
        <w:gridCol w:w="331"/>
        <w:gridCol w:w="733"/>
        <w:gridCol w:w="241"/>
      </w:tblGrid>
      <w:tr>
        <w:trPr/>
        <w:tc>
          <w:tcPr>
            <w:tcW w:w="145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Cash Flow and Other Financial Data:</w:t>
            </w:r>
          </w:p>
        </w:tc>
        <w:tc>
          <w:tcPr>
            <w:tcW w:w="12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Ratio of earnings to fixed charges </w:t>
            </w:r>
            <w:r>
              <w:rPr>
                <w:rFonts w:ascii="Times New Roman;serif" w:hAnsi="Times New Roman;serif"/>
                <w:b w:val="false"/>
                <w:color w:val="000000"/>
                <w:sz w:val="13"/>
              </w:rPr>
              <w:t>(1)</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2.3x</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2.6x</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For purposes of computing the ratio of earnings to fixed charges, earnings consist of income from continuing operations before income taxes plus fixed charges. Fixed charges consist of interest expense, amortization of debt issuance costs and original issue discount and the “interest component” of rental expense.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Significant Transactions of Fiscal 2026 and Subsequent Events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October 6, 2025, the Company completed the acquisition of all the outstanding stock of Simmonds for approximately $757 million in cash. The acquisition was financed using cash on hand.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December 30, 2025, the Company entered into a definitive agreement to acquire all the outstanding stock of Stellant Systems, Inc. (“Stellant”) for approximately $960 million in cash. The acquisition is subject to regulatory approvals in the United States and customary closing conditions. The acquisition is expected to be financed using cash on hand as well as the net proceeds from the debt issuances completed in April 2026 (as further described below).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April 7, 2026, the Company completed the acquisition of Jet Parts Engineering (“JPE”) and Victor Sierra Aviation Holdings (“VSA”) for approximately $2.2 billion in cash. The definitive agreement to acquire JPE and VSA from Vance Street Capital was entered into on January 13, 2026. The acquisition was financed using cash on hand and the net proceeds from the debt offerings completed in February 2026 (as further described below).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During the first half of fiscal 2026, the Company completed several acquisitions consisting of substantially all of the assets and technical data rights of certain product lines or all the outstanding stock of certain businesses (collectively, referred to herein as the “Other Acquisitions”), each meeting the definition of a business, for a total aggregate purchase price of $243 million in cash. Each of the acquisitions was financed using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Debt Financing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February 13, 2026, the Company completed $2,000 million in new debt issuances. The new debt was comprised of $1,200 million in aggregate principal amount of senior subordinated notes due 2034 at an issue price of 100% that bear interest at a rate of 6.125% (the “Initial 6.125% 2034 Notes”) and $800 million of Tranche N term loans (the “Initial Tranche N term loans”) that bear interest at a rate of Term SOFR plus 2.50%. Original issue discount of 0.25%, or $1 million, was paid to the lenders of the Initial Tranche N term loans. The net proceeds from the February 13, 2026 new debt issuances were used, along with cash on hand, to fund the purchase price of the acquisition of JPE and VSA and for related transaction fees and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April 17, 2026, the Company completed $1,500 million in new debt issuances. The new debt was comprised of $500 million in aggregate principal amount of additional senior subordinated notes due 2034 at an issue price of 100.375%, or a premium of approximately $2 million, that bear interest at a rate of 6.125% (the “New 6.125% 2034 Notes”) and $1,000 million in new Tranche N term loans (the “New Tranche N term loans”) that bear interest at a rate of Term SOFR plus 2.50%. Original issue discount of 0.25%, or approximately $1 million, was paid to the lenders of the New Tranche N term loans. The net proceeds from the April 17, 2026 new debt issuances are intended to be used, along with cash on hand, to fund the purchase price of the expected acquisition of Stellant and for general corporate purposes, including replenishment on our balance sheet of a portion of the cash used to fund the common stock repurchases (as further described below) and for related transaction fees and expenses.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Common Stock Repurchases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For the twenty-six week period ended March 28, 2026, the Company repurchased, in aggregate, 687,282 shares of common stock at an average price of $1,206.68 per share for a total amount of $829 million, of which $108 million is accrued within accrued and other current liabilities as of March 28, 2026. The repurchased shares of common stock are classified as treasury stock in the statement of changes in stockholders' deficit.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April 2026, the Company repurchased</w:t>
      </w:r>
      <w:r>
        <w:rPr>
          <w:color w:val="000000"/>
        </w:rPr>
        <w:t xml:space="preserve"> </w:t>
      </w:r>
      <w:r>
        <w:rPr>
          <w:rFonts w:ascii="Times New Roman;serif" w:hAnsi="Times New Roman;serif"/>
          <w:b w:val="false"/>
          <w:color w:val="000000"/>
          <w:sz w:val="20"/>
        </w:rPr>
        <w:t>66,537 shares of common stock at an average price of $1,138.88 per share for a total amount of $76 million. Whether the Company undertakes additional stock repurchases or other aforementioned activities will depend on prevailing market conditions, the Company's liquidity requirements, contractual restrictions and other factors.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 * * *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the Company has excess cash, it generally prioritizes allocating the excess cash in the following manner: (1) capital spending at existing businesses, (2) acquisitions of businesses, (3) payment of a special dividend and/or repurchases of our common stock and (4) prepayment of indebtedness or repurchase of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ability to make scheduled interest payments on, or to refinance, the Company’s indebtedness, or to fund non-acquisition related capital expenditures and research and development efforts, will depend on the Company’s ability to generate cash in the future. This is subject to general economic, financial, competitive, legislative, regulatory and other factors that are beyond its control.</w:t>
      </w:r>
    </w:p>
    <w:p>
      <w:pPr>
        <w:pStyle w:val="TextBody"/>
        <w:bidi w:val="0"/>
        <w:spacing w:lineRule="auto" w:line="288" w:before="120" w:after="283"/>
        <w:jc w:val="both"/>
        <w:rPr/>
      </w:pPr>
      <w:r>
        <w:rPr>
          <w:rFonts w:ascii="Times New Roman;serif" w:hAnsi="Times New Roman;serif"/>
          <w:b w:val="false"/>
          <w:color w:val="000000"/>
          <w:sz w:val="20"/>
          <w:shd w:fill="FFFFFF" w:val="clear"/>
        </w:rPr>
        <w:t>The Company's objective is to maintain an allocation of at least 75% fixed rate and 25% variable rate debt thereby limiting its exposure to changes in near-term interest rates. Interest rate swaps, caps and collars used to hedge and offset, respectively, the variable interest rates on our term loans are further described in Note 11, “Derivatives and Hedging Activities,” in the notes to the condensed consolidated financial statements included herein.</w:t>
      </w:r>
      <w:r>
        <w:rPr>
          <w:color w:val="000000"/>
        </w:rPr>
        <w:t xml:space="preserve"> </w:t>
      </w:r>
      <w:r>
        <w:rPr>
          <w:rFonts w:ascii="Times New Roman;serif" w:hAnsi="Times New Roman;serif"/>
          <w:b w:val="false"/>
          <w:color w:val="000000"/>
          <w:sz w:val="20"/>
        </w:rPr>
        <w:t>As of March 28, 2026, approximately 75% of our gross debt was fixed rate.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March 28, 2026, the Company has significant cash liquidity as illustrated in the table presented below (in millions): </w:t>
      </w:r>
    </w:p>
    <w:tbl>
      <w:tblPr>
        <w:tblW w:w="5069" w:type="dxa"/>
        <w:jc w:val="center"/>
        <w:tblInd w:w="0" w:type="dxa"/>
        <w:tblLayout w:type="fixed"/>
        <w:tblCellMar>
          <w:top w:w="28" w:type="dxa"/>
          <w:left w:w="28" w:type="dxa"/>
          <w:bottom w:w="28" w:type="dxa"/>
          <w:right w:w="28" w:type="dxa"/>
        </w:tblCellMar>
      </w:tblPr>
      <w:tblGrid>
        <w:gridCol w:w="1211"/>
        <w:gridCol w:w="1064"/>
        <w:gridCol w:w="1070"/>
        <w:gridCol w:w="371"/>
        <w:gridCol w:w="1083"/>
        <w:gridCol w:w="270"/>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March 28, 2026</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on revolving credit facility</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liquidity</w:t>
            </w:r>
          </w:p>
        </w:tc>
        <w:tc>
          <w:tcPr>
            <w:tcW w:w="3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our significant cash liquidity will allow us to meet our anticipated funding requirements. We expect to meet our short-term cash liquidity requirements (including interest obligations and capital expenditures) through net cash from operating activities, cash on hand and, if needed, draws on the revolving credit facility. Long-term cash liquidity requirements consist primarily of obligations under our long-term debt agreements. There is no maturity on any tranche of term loans or notes until August 2028 (fiscal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continued application of our three core value-driven operating strategy, we expect our efforts will continue to generate strong margins and provide sufficient cash provided by operating activities to meet our interest obligations and liquidity needs. We believe our cash provided by operating activities and available borrowing capacity will enable us to make strategic business acquisitions, pay dividends to our shareholders and make opportunistic investments in our own stock, subject to any restrictions in our existing Second Amended and Restated Credit Agreement dated as of June 4, 2014 (the “Credit Agreement”) and market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issue additional debt if prevailing market conditions are favorable to doing so. In addition, the Company may increase its borrowings in connection with acquisitions, if cash flow from operating activities becomes insufficient to fund current operations or for other short-term cash needs or for common stock repurchases or dividends. Our future leverage will also be impacted by the then current conditions of the credit markets.</w:t>
      </w:r>
    </w:p>
    <w:p>
      <w:pPr>
        <w:pStyle w:val="TextBody"/>
        <w:bidi w:val="0"/>
        <w:spacing w:lineRule="auto" w:line="288" w:before="120" w:after="283"/>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 xml:space="preserve">The Company generated $967 million of net cash from operating activities during the twenty-six week period ended March 28, 2026 compared to $900 million during the twenty-six week period ended March 29,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accounts receivable during the twenty-six week period ended March 28, 2026 was a use of cash of $65 million compared to a use of cash of $66 million during the twenty-six week period ended March 29, 2025. The change is primarily attributable to the timing of cash receipts. The Company actively manages its accounts receivable, the related agings and collection efforts.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inventories during the twenty-six week period ended March 28, 2026 was a use of cash of $145 million compared to a use of cash of $116 million during the twenty-six week period ended March 29, 2025. The increase is due to an increase in raw materials to support the fiscal 2026 sales demand. The Company manages inventory levels in support of customer needs.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accounts payable during the twenty-six week period ended March 28, 2026 was a source of cash of $15 million compared to a use of cash of $2 million during the twenty-six week period ended March 29, 2025. The change is due to the timing of payments to suppliers. </w:t>
      </w:r>
    </w:p>
    <w:p>
      <w:pPr>
        <w:pStyle w:val="TextBody"/>
        <w:bidi w:val="0"/>
        <w:spacing w:lineRule="auto" w:line="288" w:before="120" w:after="283"/>
        <w:jc w:val="both"/>
        <w:rPr/>
      </w:pPr>
      <w:r>
        <w:rPr>
          <w:rFonts w:ascii="Times New Roman;serif" w:hAnsi="Times New Roman;serif"/>
          <w:b w:val="false"/>
          <w:i/>
          <w:color w:val="000000"/>
          <w:sz w:val="20"/>
        </w:rPr>
        <w:t>Investing Activities</w:t>
      </w:r>
      <w:r>
        <w:rPr>
          <w:rFonts w:ascii="Times New Roman;serif" w:hAnsi="Times New Roman;serif"/>
          <w:b w:val="false"/>
          <w:color w:val="000000"/>
          <w:sz w:val="20"/>
        </w:rPr>
        <w:t xml:space="preserve">. Net cash used in investing activities was $1,137 million during the twenty-six week period ended March 28, 2026, consisting primarily of the acquisition of Simmonds and other acquisitions of businesses completed during the first half of fiscal 2026 aggregating to $1,000 million, capital expenditures of $131 million and other investing transactions outflows of $6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$191 million during the twenty-six week period ended March 29, 2025, consisting primarily of other acquisitions of businesses completed during the first half of fiscal 2025 aggregating to $140 million and capital expenditures of $98 million; partially offset by other investing transactions inflows of $47 million.</w:t>
      </w:r>
    </w:p>
    <w:p>
      <w:pPr>
        <w:pStyle w:val="TextBody"/>
        <w:bidi w:val="0"/>
        <w:spacing w:lineRule="auto" w:line="288" w:before="120" w:after="283"/>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Net cash provided by financing activities was $1,249 million during the twenty-six week period ended March 28, 2026. The source of cash was primarily attributable to the net proceeds from the February 2026 new debt issuances, including fees, of $1,980 million plus proceeds from stock option exercises of $83 million; partially offset by repurchases of common stock of $721 million, dividend equivalent payments of $59 million, and repayments on term loans plus other financing costs aggregating to $34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$4,540 million during the twenty-six week period ended March 29, 2025. The use of cash was primarily attributable to dividend and dividend equivalent payments of $4,396 million, repurchases of common stock of $369 million and repayments on term loans plus other financing costs aggregating to $27 million; partially offset by an additional draw from the trade receivable securitization facility, including fees, of $163 million and proceeds from stock option exercises of $89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Senior Secured Term Loans and Indentures</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Senior Secured Term Loans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TransDigm has $11,896 million in fully drawn term loans (the “Term Loans Facility”) as of March 28, 2026 and a $910 million revolving credit facility. The Term Loans Facility consists of five tranches of term loans with maturity dates ranging from March 22, 2030 to February 13, 2033, and requires quarterly aggregate principal payments of $30 million. Subsequent to the quarter ended March 28, 2026, the Company issued an additional $1,000 million in Tranche N term loans, increasing the quarterly aggregate principal payments to $32 million. Refer to Note 8, “Debt,” in the notes to the condensed consolidated financial statements included herein for further disclosure.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revolving commitments consist of two tranches which include up to $139 million of multicurrency revolving commitments. At March 28, 2026, the Company had $49 million in letters of credit outstanding and $861 million in borrowings available under the revolving commitments. Draws on the revolving commitments are subject to an interest rate of 2.25%. The unused portion of the revolving commitments is subject to a fee of 0.50% per annum. The maturity date of the revolving credit facility is February 27,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interest rates per annum applicable to the Term Loans Facility under the Credit Agreement are, at TransDigm’s option, equal to either an alternate base rate or an adjusted Term SOFR for one, three or six-month interest periods chosen by TransDigm, in each case plus an applicable margin percentage. The adjusted Term SOFR related to the Term Loans Facility are not subject to a floor. Refer to Note 11, “Derivatives and Hedging Activities,” in the notes to the condensed consolidated financial statements included herein for information about how our interest rate swaps, caps and collar agreements are used to hedge and offset, respectively, the variable interest rate portion of our debt.</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Indentures</w:t>
      </w:r>
    </w:p>
    <w:p>
      <w:pPr>
        <w:pStyle w:val="TextBody"/>
        <w:bidi w:val="0"/>
        <w:spacing w:lineRule="auto" w:line="288" w:before="12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senior subordinated and secured notes outstanding as of March 28, 2026:</w:t>
      </w:r>
    </w:p>
    <w:tbl>
      <w:tblPr>
        <w:tblW w:w="7969" w:type="dxa"/>
        <w:jc w:val="left"/>
        <w:tblInd w:w="0" w:type="dxa"/>
        <w:tblLayout w:type="fixed"/>
        <w:tblCellMar>
          <w:top w:w="28" w:type="dxa"/>
          <w:left w:w="28" w:type="dxa"/>
          <w:bottom w:w="28" w:type="dxa"/>
          <w:right w:w="28" w:type="dxa"/>
        </w:tblCellMar>
      </w:tblPr>
      <w:tblGrid>
        <w:gridCol w:w="955"/>
        <w:gridCol w:w="840"/>
        <w:gridCol w:w="845"/>
        <w:gridCol w:w="109"/>
        <w:gridCol w:w="109"/>
        <w:gridCol w:w="109"/>
        <w:gridCol w:w="524"/>
        <w:gridCol w:w="524"/>
        <w:gridCol w:w="526"/>
        <w:gridCol w:w="109"/>
        <w:gridCol w:w="109"/>
        <w:gridCol w:w="109"/>
        <w:gridCol w:w="559"/>
        <w:gridCol w:w="559"/>
        <w:gridCol w:w="562"/>
        <w:gridCol w:w="109"/>
        <w:gridCol w:w="109"/>
        <w:gridCol w:w="109"/>
        <w:gridCol w:w="319"/>
        <w:gridCol w:w="319"/>
        <w:gridCol w:w="456"/>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26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2028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4.625% 2029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2029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6.375%</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4.875% 2029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4.875%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2030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6.875%</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2031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2032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6.625%</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2033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6.375% 2033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6.375%</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2034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6.750% 2034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Initial 6.125% 2034 Notes </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32"/>
        <w:jc w:val="both"/>
        <w:rPr/>
      </w:pPr>
      <w:r>
        <w:rPr>
          <w:rFonts w:ascii="Times New Roman;serif" w:hAnsi="Times New Roman;serif"/>
          <w:b w:val="false"/>
          <w:color w:val="000000"/>
          <w:sz w:val="13"/>
        </w:rPr>
        <w:t>(1)</w:t>
      </w:r>
      <w:r>
        <w:rPr>
          <w:rFonts w:ascii="Times New Roman;serif" w:hAnsi="Times New Roman;serif"/>
          <w:b w:val="false"/>
          <w:color w:val="000000"/>
          <w:sz w:val="20"/>
        </w:rPr>
        <w:t>Collectively, referred to as the “Subordinated Notes” herein.</w:t>
      </w:r>
    </w:p>
    <w:p>
      <w:pPr>
        <w:pStyle w:val="TextBody"/>
        <w:bidi w:val="0"/>
        <w:spacing w:lineRule="auto" w:line="288" w:before="60" w:after="283"/>
        <w:ind w:left="0" w:right="0" w:hanging="432"/>
        <w:jc w:val="both"/>
        <w:rPr/>
      </w:pPr>
      <w:r>
        <w:rPr>
          <w:rFonts w:ascii="Times New Roman;serif" w:hAnsi="Times New Roman;serif"/>
          <w:b w:val="false"/>
          <w:color w:val="000000"/>
          <w:sz w:val="13"/>
        </w:rPr>
        <w:t>(2)</w:t>
      </w:r>
      <w:r>
        <w:rPr>
          <w:rFonts w:ascii="Times New Roman;serif" w:hAnsi="Times New Roman;serif"/>
          <w:b w:val="false"/>
          <w:color w:val="000000"/>
          <w:sz w:val="20"/>
        </w:rPr>
        <w:t>Collectively, referred to as the “Secured Notes” herein.</w:t>
      </w:r>
    </w:p>
    <w:p>
      <w:pPr>
        <w:pStyle w:val="TextBody"/>
        <w:bidi w:val="0"/>
        <w:spacing w:lineRule="auto" w:line="288" w:before="60" w:after="283"/>
        <w:ind w:left="0" w:right="0" w:hanging="432"/>
        <w:jc w:val="both"/>
        <w:rPr/>
      </w:pPr>
      <w:r>
        <w:rPr>
          <w:rFonts w:ascii="Times New Roman;serif" w:hAnsi="Times New Roman;serif"/>
          <w:b w:val="false"/>
          <w:color w:val="000000"/>
          <w:sz w:val="13"/>
        </w:rPr>
        <w:t>(3)</w:t>
      </w:r>
      <w:r>
        <w:rPr>
          <w:rFonts w:ascii="Times New Roman;serif" w:hAnsi="Times New Roman;serif"/>
          <w:b w:val="false"/>
          <w:color w:val="000000"/>
          <w:sz w:val="20"/>
        </w:rPr>
        <w:t>Subsequent to the quarter ended March 28, 2026, the Company issued an additional $500 million of 6.125% 2034 Notes. Refer to Note 8, “Debt,” in the notes to the condensed consolidated financial statements included herein for further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Subordinated Notes and Secured Notes do not require principal payments prior to their maturity. Interest under the Subordinated Notes and Secured Notes is payable semi-annually. The Subordinated Notes represent our unsecured obligations ranking subordinate to our senior debt, as defined in the applicable indentures. The Secured Notes represent our secured obligations ranking equally to all existing and future senior debt, as defined in the applicable indentures. The Subordinated Notes and Secured Notes contain many of the restrictive covenants included in the Credit Agreement. TransDigm is in compliance with all of the covenants contained in the Subordinated Notes and 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Guarantor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Subordinated Notes are subordinated to all of our existing and future senior secured debt, including indebtedness under TransDigm’s existing senior secured credit facilities, rank equally with all of our existing and future senior subordinated debt and rank senior to all of our future debt that is expressly subordinated to the Subordinated Notes. The 4.625% 2029 Notes and the 4.875% 2029 Notes are fully and unconditionally guaranteed on a senior subordinated unsecured basis by TransDigm Group, TransDigm UK and TransDigm Inc.’s Domestic Restricted Subsidiaries (as defined in the applicable indentures). The 6.375% 2033 Notes, 6.750% 2034 Notes and the Initial 6.125% 2034 Notes are guaranteed, on a senior subordinated basis, by TransDigm Group and each of TransDigm Inc.’s direct and indirect restricted subsidiaries that is a borrower or guarantor under TransDigm’s senior secured credit facilities or that issues or guarantees any capital markets indebtedness of TransDigm or any of the guarantors in an aggregate principal amount of at least $200 million. The table set forth in Exhibit 22.1 filed with this Form 10-Q details the primary obligors and guarantors. The guarantees of the Subordinated Notes are subordinated to all of the guarantors’ existing and future senior debt, rank equally with all of their existing and future senior subordinated debt and rank senior to all of their future debt that is expressly subordinated to the guarantees of the Subordinated Notes. The Subordinated Notes are structurally subordinated to all of the liabilities of TransDigm Group’s non-guarantor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Secured Notes are senior secured debt of TransDigm and rank equally in right of payment with all of TransDigm’s existing and future senior secured debt, including indebtedness under TransDigm’s existing senior secured credit facilities, and are senior in right of payment to all of TransDigm’s existing and future senior subordinated debt, including the Subordinated Notes. The 2028 Secured Notes are guaranteed on a senior secured basis by TransDigm Group, TransDigm UK and TransDigm Inc.’s Domestic Restricted Subsidiaries (as defined in the applicable indentures). The 2029 Secured Notes, 2030 Secured Notes, 2031 Secured Notes, 2032 Secured Notes, 2033 Secured Notes and 2034 Secured Notes are guaranteed on a senior secured basis by TransDigm Group and each of TransDigm Inc.’s direct and indirect Restricted Subsidiaries (as defined in the applicable indenture) that is a borrower or guarantor under TransDigm’s senior secured credit facilities or that issues or guarantees any capital markets indebtedness of TransDigm Inc. or any of the guarantors in an aggregate principal amount of at least $200 million. As of the date of this Form 10-Q, the guarantors of the 2029 Secured Notes, 2030 Secured Notes, 2031 Secured Notes, 2032 Secured Notes, 2033 Secured Notes and 2034 Secured Notes are the same as the guarantors of the 2028 Secured Notes. The table set forth in Exhibit 22.1 filed with this Form 10-Q details the primary obligors and guarantors. The guarantees of the Secured Notes rank equally in right of payment with all of the guarantors’ existing and future senior secured debt and are senior in right of payment to all of their existing and future senior subordinated debt. The Secured Notes are structurally subordinated to all of the liabilities of TransDigm’s non-guarantor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Separate financial statements of TransDigm Inc. are not presented because the Subordinated Notes and Secured Notes are fully and unconditionally guaranteed on a senior subordinated unsecured basis (if Subordinated Notes) and senior secured basis (if Secured Notes) by TransDigm Group, TransDigm UK and all of TransDigm Inc.'s Domestic Restricted Subsidiaries. TransDigm Group has no significant operations or assets separate from its investment in TransDigm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presented is that of TransDigm Group, TransDigm Inc. and the other Guarantors, which includes TransDigm UK, on a combined basis and the financial information of non-issuer and non-guarantor subsidiaries has been excluded. Intercompany balances and transactions between TransDigm Group, TransDigm Inc. and the other Guarantors have been eliminated, and amounts due from, amounts due to, and transactions with non-issuer and non-guarantor subsidiaries have been presented separately.</w:t>
      </w:r>
    </w:p>
    <w:tbl>
      <w:tblPr>
        <w:tblW w:w="8219" w:type="dxa"/>
        <w:jc w:val="left"/>
        <w:tblInd w:w="0" w:type="dxa"/>
        <w:tblLayout w:type="fixed"/>
        <w:tblCellMar>
          <w:top w:w="28" w:type="dxa"/>
          <w:left w:w="28" w:type="dxa"/>
          <w:bottom w:w="28" w:type="dxa"/>
          <w:right w:w="28" w:type="dxa"/>
        </w:tblCellMar>
      </w:tblPr>
      <w:tblGrid>
        <w:gridCol w:w="2354"/>
        <w:gridCol w:w="2069"/>
        <w:gridCol w:w="2072"/>
        <w:gridCol w:w="371"/>
        <w:gridCol w:w="1083"/>
        <w:gridCol w:w="270"/>
      </w:tblGrid>
      <w:tr>
        <w:trPr/>
        <w:tc>
          <w:tcPr>
            <w:tcW w:w="23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28, 2026</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to subsidiaries that are non-issuers and non-guarantors-net</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19" w:type="dxa"/>
        <w:jc w:val="left"/>
        <w:tblInd w:w="0" w:type="dxa"/>
        <w:tblLayout w:type="fixed"/>
        <w:tblCellMar>
          <w:top w:w="28" w:type="dxa"/>
          <w:left w:w="28" w:type="dxa"/>
          <w:bottom w:w="28" w:type="dxa"/>
          <w:right w:w="28" w:type="dxa"/>
        </w:tblCellMar>
      </w:tblPr>
      <w:tblGrid>
        <w:gridCol w:w="2090"/>
        <w:gridCol w:w="1834"/>
        <w:gridCol w:w="1851"/>
        <w:gridCol w:w="526"/>
        <w:gridCol w:w="1535"/>
        <w:gridCol w:w="383"/>
      </w:tblGrid>
      <w:tr>
        <w:trPr/>
        <w:tc>
          <w:tcPr>
            <w:tcW w:w="209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 Ended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3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subsidiaries that are non-issuers and non-guarantors</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subsidiaries that are non-issuers and non-guarantors-net</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Certain Restrictive Covenants in Our Debt Documents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and the indentures governing the Subordinated Notes and Secured Notes contain restrictive covenants that, among other things, limit the incurrence of additional indebtedness, the payment of special dividends, transactions with affiliates, asset sales, acquisitions, mergers and consolidations, liens and encumbrances, and prepayments of certain other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restrictive covenants included in the Credit Agreement are subject to amendments executed periodically. The most recent amendment that impacted the restrictive covenants contained in the Credit Agreement is Amendment No. 15, executed on March 22,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TransDigm is entitled, on one or more occasions, to request additional term loans or additional revolving commitments to the extent that the existing or new lenders agree to provide such incremental term loans or additional revolving commitments provided that, among other conditions, our consolidated net leverage ratio would be no greater than 7.25x and the consolidated secured net debt ratio would be no greater than 5.00x, in each case, after giving effect to such incremental term loans or additional revolving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any such default occurs, the lenders under the Credit Agreement and the holders of the Subordinated Notes and Secured Notes may elect to declare all outstanding borrowings, together with accrued interest and other amounts payable thereunder, to be immediately due and payable. The lenders under the Credit Agreement also have the right in these circumstances to terminate any commitments they have to provide further borrowings. In addition, following an event of default under the Credit Agreement, the lenders thereunder and the holders of the Secured Notes will have the right to proceed against the collateral granted to them to secure the debt, which includes our available cash, and they will also have the right to prevent us from making debt service payments on the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the revolving credit facility, the Company has no maintenance covenants in its existing term loan and indenture agreements. Under the Credit Agreement, if the usage of the revolving credit facility exceeds 40% (or, currently, $364 million) of the total revolving commitments, the Company is required to maintain a maximum consolidated net leverage ratio of net debt to trailing four-quarter EBITDA As Defined of 7.50x (or, solely with respect to the first four fiscal quarters ending after the consummation of any material acquisition, 8.00x) as of the last day of the fiscal quarter.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28, 2026, the Company was in compliance with all of its debt covenants and expects to remain in compliance with its debt covenants in subsequent periods. </w:t>
      </w:r>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Trade Receivable Securitization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2014, the Company established a trade receivable securitization facility (the “Securitization Facility”). The Company’s Securitization Facility effectively increases the Company’s borrowing capacity depending on the amount of the domestic operations’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11, 2025, the Company amended the Securitization Facility to, among other things, (i) increase the borrowing capacity from $650 million to $725 million; and (ii) extend the maturity date to July 10, 2026 at an interest rate of Term SOFR plus 1.35% compared to an interest rate of Term SOFR plus 1.45% that applied prior to the amendment.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28, 2026, the Securitization Facility was fully drawn and the applicable interest rate was 5.03%. The Securitization Facility is collateralized by substantially all of the Company’s domestic operations’ trade accounts receivable. </w:t>
      </w:r>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future obligations under various contracts relating to debt and interest payments, finance and operating leases, pension and post-retirement benefit plans and purchase obligations. During the twenty-six week period ended March 28, 2026, other than the debt financing activities disclosed in Note 8, “Debt,” in the notes to the condensed consolidated financial statements included herein, there were no material changes to these obligations as reported in our Annual Report on Form 10-K for the fiscal year ended September 30,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Dividend and Dividend Equivalent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Fourth Amended and Restated TransDigm Group Incorporated 2006 Stock Incentive Plan Dividend Equivalent Plan, the Amended and Restated 2014 Stock Option Plan Dividend Equivalent Plan and the 2019 Stock Option Plan Dividend Equivalent Plan, all of the vested options granted under the existing stock option plans, except for grants to the members of the Board of Directors, are entitled to certain dividend equivalent payments in the event of the declaration of a dividend by the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dividends were declared in the twenty-six week period ended March 28, 2026. Dividend equivalent payments are made during the Company's first fiscal quarter each year and also upon payment of any dividends declared. Total dividend equivalent payments in the first quarter of fiscal 2026 were approximately $59 million. </w:t>
      </w:r>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letters of credit to back certain payment and performance obligations. Letters of credit are subject to limits based on amounts outstanding under the Company’s revolving credit facility. As of March 28, 2026, the Company had $49 million in letters of credit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below certain financial information based on our EBITDA and EBITDA As Defined. References to “EBITDA” mean earnings before interest, taxes, depreciation and amortization, and references to “EBITDA As Defined” mean EBITDA plus, as applicable for each relevant period, certain adjustments as set forth in the reconciliations of net income to EBITDA and EBITDA As Defined and the reconciliations of net cash provided by operating activities to EBITDA and EBITDA As Defined presented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Neither EBITDA nor EBITDA As Defined is a measurement of financial performance under U.S. GAAP. We present EBITDA and EBITDA As Defined because we believe they are useful indicators for evaluating operating performance and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believes that EBITDA and EBITDA As Defined are useful as indicators of liquidity because securities analysts, investors, rating agencies and others use EBITDA to evaluate a company’s ability to incur and service debt. In addition, EBITDA As Defined is useful to investors because the revolving credit facility under our senior secured credit facility requires compliance under certain circumstances, on a pro forma basis, with a financial covenant that measures the ratio of the amount of our secured indebtedness to the amount of our Consolidated EBITDA defined in the same manner as we define EBITDA As Defined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above, our management uses EBITDA As Defined to review and assess the performance of the management team in connection with employee incentive programs and to prepare its annual budget and financial projections. Moreover, our management uses EBITDA As Defined to evaluate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use EBITDA and EBITDA As Defined as measures to assess the performance of our business and for the other purposes set forth above, the use of these non-GAAP financial measures as analytical tools has limitations, and you should not consider any of them in isolation, or as a substitute for analysis of our results of operations as reported in accordance with U.S. GAAP. Some of these limitations 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neither EBITDA nor EBITDA As Defined reflects the significant interest expense, or the cash requirements, necessary to service interest payments on our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neither EBITDA nor EBITDA As Defined reflects any cash requirements for such replacements;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omission of the substantial amortization expense associated with our intangible assets further limits the usefulness of EBITDA and EBITDA As Defined;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neither EBITDA nor EBITDA As Defined includes the payment of taxes, which is a necessary element of our operations;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EBITDA As Defined excludes the cash expense we have incurred to integrate acquired businesses into our operations, which is a necessary element of certain of our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EBITDA and EBITDA As Defined should not be considered as measures of discretionary cash available to us to invest in the growth of our business. Management compensates for these limitations by not viewing EBITDA or EBITDA As Defined in isolation and specifically by using other U.S. GAAP measures, such as net income, net sales and operating profit, to measure our operating performance. Neither EBITDA nor EBITDA As Defined is a measurement of financial performance under U.S. GAAP, and neither should be considered as an alternative to net income or cash flow from operations determined in accordance with U.S. GAAP. Our calculation of EBITDA and EBITDA As Defined may not be comparable to the calculation of similarly titled measures reported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income to EBITDA and EBITDA As Defined (in millions):</w:t>
      </w:r>
    </w:p>
    <w:tbl>
      <w:tblPr>
        <w:tblW w:w="10205" w:type="dxa"/>
        <w:jc w:val="left"/>
        <w:tblInd w:w="0" w:type="dxa"/>
        <w:tblLayout w:type="fixed"/>
        <w:tblCellMar>
          <w:top w:w="28" w:type="dxa"/>
          <w:left w:w="28" w:type="dxa"/>
          <w:bottom w:w="28" w:type="dxa"/>
          <w:right w:w="28" w:type="dxa"/>
        </w:tblCellMar>
      </w:tblPr>
      <w:tblGrid>
        <w:gridCol w:w="1621"/>
        <w:gridCol w:w="1349"/>
        <w:gridCol w:w="1362"/>
        <w:gridCol w:w="270"/>
        <w:gridCol w:w="791"/>
        <w:gridCol w:w="138"/>
        <w:gridCol w:w="112"/>
        <w:gridCol w:w="112"/>
        <w:gridCol w:w="112"/>
        <w:gridCol w:w="270"/>
        <w:gridCol w:w="791"/>
        <w:gridCol w:w="138"/>
        <w:gridCol w:w="109"/>
        <w:gridCol w:w="109"/>
        <w:gridCol w:w="109"/>
        <w:gridCol w:w="270"/>
        <w:gridCol w:w="791"/>
        <w:gridCol w:w="139"/>
        <w:gridCol w:w="118"/>
        <w:gridCol w:w="118"/>
        <w:gridCol w:w="118"/>
        <w:gridCol w:w="267"/>
        <w:gridCol w:w="783"/>
        <w:gridCol w:w="208"/>
      </w:tblGrid>
      <w:tr>
        <w:trPr/>
        <w:tc>
          <w:tcPr>
            <w:tcW w:w="162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(1)</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(3)</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As Defined</w:t>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2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payroll withholding taxes related to dividend equivalent payments and stock option exercises, non-service related pension costs, deferred compensation payments and other miscellaneous income or expense, such as gain on sale of 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reconciliation of net cash provided by operating activities to EBITDA and EBITDA As Defined (in millions): </w:t>
      </w:r>
    </w:p>
    <w:tbl>
      <w:tblPr>
        <w:tblW w:w="10193" w:type="dxa"/>
        <w:jc w:val="left"/>
        <w:tblInd w:w="0" w:type="dxa"/>
        <w:tblLayout w:type="fixed"/>
        <w:tblCellMar>
          <w:top w:w="28" w:type="dxa"/>
          <w:left w:w="28" w:type="dxa"/>
          <w:bottom w:w="28" w:type="dxa"/>
          <w:right w:w="28" w:type="dxa"/>
        </w:tblCellMar>
      </w:tblPr>
      <w:tblGrid>
        <w:gridCol w:w="2622"/>
        <w:gridCol w:w="2308"/>
        <w:gridCol w:w="2314"/>
        <w:gridCol w:w="284"/>
        <w:gridCol w:w="829"/>
        <w:gridCol w:w="146"/>
        <w:gridCol w:w="109"/>
        <w:gridCol w:w="109"/>
        <w:gridCol w:w="109"/>
        <w:gridCol w:w="211"/>
        <w:gridCol w:w="616"/>
        <w:gridCol w:w="536"/>
      </w:tblGrid>
      <w:tr>
        <w:trPr/>
        <w:tc>
          <w:tcPr>
            <w:tcW w:w="262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 Periods Ended</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Changes in assets and liabilities, net of effects from acquisitions and sales of businesses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Interest expense-net </w:t>
            </w:r>
            <w:r>
              <w:rPr>
                <w:rFonts w:ascii="Times New Roman;serif" w:hAnsi="Times New Roman;serif"/>
                <w:b w:val="false"/>
                <w:color w:val="000000"/>
                <w:sz w:val="13"/>
              </w:rPr>
              <w:t>(1)</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provision-current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firstLine="405"/>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businesses,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11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(3)</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(4)</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5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7"/>
        <w:gridCol w:w="2683"/>
        <w:gridCol w:w="38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interest expense, net of interest income, excluding the amortization of debt issuance costs and discount on debt.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payroll withholding taxes related to dividend equivalent payments and stock option exercises, non-service related pension costs, deferred compensation payments and other miscellaneous income or expense, such as gain on sale of 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120" w:after="283"/>
        <w:jc w:val="both"/>
        <w:rPr/>
      </w:pPr>
      <w:r>
        <w:rPr>
          <w:rFonts w:ascii="Times New Roman;serif" w:hAnsi="Times New Roman;serif"/>
          <w:b w:val="false"/>
          <w:color w:val="000000"/>
          <w:sz w:val="20"/>
        </w:rPr>
        <w:t>The information called for by this item is provided under the caption “</w:t>
      </w:r>
      <w:r>
        <w:rPr>
          <w:rFonts w:ascii="Times New Roman;serif" w:hAnsi="Times New Roman;serif"/>
          <w:b w:val="false"/>
          <w:i/>
          <w:color w:val="000000"/>
          <w:sz w:val="20"/>
        </w:rPr>
        <w:t>Description of Senior Secured Term Loans and Indentures</w:t>
      </w:r>
      <w:r>
        <w:rPr>
          <w:color w:val="000000"/>
        </w:rPr>
        <w:t xml:space="preserve">” </w:t>
      </w:r>
      <w:r>
        <w:rPr>
          <w:rFonts w:ascii="Times New Roman;serif" w:hAnsi="Times New Roman;serif"/>
          <w:b w:val="false"/>
          <w:color w:val="000000"/>
          <w:sz w:val="20"/>
        </w:rPr>
        <w:t xml:space="preserve">in Part I,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Market risks are described more fully within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Part II, Item 7A of our most recent Annual Report on Form 10-K (for the fiscal year ended September 30, 2025, filed on November 12, 2025). These market risks have not materially changed for the second quarter of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28, 2026, TD Group carried out an evaluation, under the supervision and with the participation of TD Group’s management, including its President and Chief Executive Officer (Principal Executive Officer) and Chief Financial Officer (Principal Financial Officer), of the effectiveness of the design and operation of TD Group’s disclosure controls and procedures. Based upon that evaluation, the President and Chief Executive Officer and Chief Financial Officer concluded that TD Group’s disclosure controls and procedures are effective to ensure that information required to be disclosed by TD Group in the reports it files or submits under the Exchange Act is recorded, processed, summarized and reported, within the time periods specified by the Securities and Exchange Commission’s rules and forms, and that such information is accumulated and communicated to TD Group’s management, including its President and Chief Executive Officer and Chief Financial Officer, as appropriate, to allow timely decisions regarding required disclosure. In designing and evaluating the disclosure controls and procedures, TD Group’s management recognized that any controls and procedures, no matter how well designed and operated, can provide only reasonable assurance of achieving the desired control objectives, and management necessarily was required to apply its judgment in designing and evaluating the controls and procedures.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27, 2025, the Company completed the acquisition of Simmonds. The Company is currently integrating the acquisition into its operations, compliance programs and internal control processes. As permitted by SEC rules and regulations, the Company has excluded the acquisition from management's evaluation of internal controls over financial reporting as of March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the Company’s internal control over financial reporting that occurred during the fiscal quarter ended March 28, 2026, that has materially affected, or is reasonably likely to materially affect, the Company’s internal control over financial reporting. </w:t>
      </w:r>
    </w:p>
    <w:p>
      <w:pPr>
        <w:pStyle w:val="TextBody"/>
        <w:bidi w:val="0"/>
        <w:spacing w:before="12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actions arising in the ordinary course of business. We believe that the outcome of these matters will not have a material adverse effect on our financial position, results of operations, or cash flows. From time to time, we are involved in matters that involve governmental authorities as a party under federal, state and local laws that have been enacted or adopted regulating the discharge of materials into the environment or primarily for the purpose of protecting the environment. We will report such matters that exceed, or that we reasonably believe may exceed, $1 million or more in monetary sanctions.</w:t>
      </w:r>
    </w:p>
    <w:p>
      <w:pPr>
        <w:pStyle w:val="TextBody"/>
        <w:bidi w:val="0"/>
        <w:spacing w:lineRule="auto" w:line="288" w:before="120" w:after="283"/>
        <w:jc w:val="both"/>
        <w:rPr/>
      </w:pPr>
      <w:r>
        <w:rPr>
          <w:rFonts w:ascii="Times New Roman;serif" w:hAnsi="Times New Roman;serif"/>
          <w:b w:val="false"/>
          <w:color w:val="000000"/>
          <w:sz w:val="20"/>
        </w:rPr>
        <w:t xml:space="preserve">Information with respect to our legal proceedings is contained in Note 13, “Commitments and Contingencies,” in Part IV, Item 15. </w:t>
      </w:r>
      <w:r>
        <w:rPr>
          <w:rFonts w:ascii="Times New Roman;serif" w:hAnsi="Times New Roman;serif"/>
          <w:b w:val="false"/>
          <w:i/>
          <w:color w:val="000000"/>
          <w:sz w:val="20"/>
        </w:rPr>
        <w:t>Exhibits and Financial Statement Schedules</w:t>
      </w:r>
      <w:r>
        <w:rPr>
          <w:rFonts w:ascii="Times New Roman;serif" w:hAnsi="Times New Roman;serif"/>
          <w:b w:val="false"/>
          <w:color w:val="000000"/>
          <w:sz w:val="20"/>
        </w:rPr>
        <w:t xml:space="preserve">, of our Annual Report on Form 10-K for the fiscal year ended September 30, 2025, filed on November 12, 2025. There have been no material changes to this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risk factors disclosed in Part I, Item 1A of our Annual Report on Form 10-K for the fiscal year ended September 30, 2025, filed on November 12, 2025. There have been no material changes to the risk factors described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PURCHASES OF EQUITY SECURITIES BY THE ISSUER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repurchases of TransDigm Group Inc. common stock made by the Company during the second quarter of fiscal year 2026 (in millions, except shares and average price per share data):</w:t>
      </w:r>
    </w:p>
    <w:tbl>
      <w:tblPr>
        <w:tblW w:w="10205" w:type="dxa"/>
        <w:jc w:val="left"/>
        <w:tblInd w:w="0" w:type="dxa"/>
        <w:tblLayout w:type="fixed"/>
        <w:tblCellMar>
          <w:top w:w="28" w:type="dxa"/>
          <w:left w:w="28" w:type="dxa"/>
          <w:bottom w:w="28" w:type="dxa"/>
          <w:right w:w="28" w:type="dxa"/>
        </w:tblCellMar>
      </w:tblPr>
      <w:tblGrid>
        <w:gridCol w:w="1091"/>
        <w:gridCol w:w="956"/>
        <w:gridCol w:w="973"/>
        <w:gridCol w:w="109"/>
        <w:gridCol w:w="109"/>
        <w:gridCol w:w="109"/>
        <w:gridCol w:w="413"/>
        <w:gridCol w:w="413"/>
        <w:gridCol w:w="367"/>
        <w:gridCol w:w="109"/>
        <w:gridCol w:w="109"/>
        <w:gridCol w:w="109"/>
        <w:gridCol w:w="211"/>
        <w:gridCol w:w="871"/>
        <w:gridCol w:w="109"/>
        <w:gridCol w:w="109"/>
        <w:gridCol w:w="109"/>
        <w:gridCol w:w="109"/>
        <w:gridCol w:w="612"/>
        <w:gridCol w:w="577"/>
        <w:gridCol w:w="580"/>
        <w:gridCol w:w="109"/>
        <w:gridCol w:w="109"/>
        <w:gridCol w:w="109"/>
        <w:gridCol w:w="370"/>
        <w:gridCol w:w="1081"/>
        <w:gridCol w:w="273"/>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Value of Shares</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Repurchased as Part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That May Yet Be</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of Publicly Announced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Under the</w:t>
            </w:r>
          </w:p>
        </w:tc>
      </w:tr>
      <w:tr>
        <w:trPr/>
        <w:tc>
          <w:tcPr>
            <w:tcW w:w="3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Plans or Programs</w:t>
            </w:r>
            <w:r>
              <w:rPr>
                <w:color w:val="000000"/>
              </w:rPr>
              <w:t xml:space="preserve"> </w:t>
            </w:r>
            <w:r>
              <w:rPr>
                <w:rFonts w:ascii="Times New Roman;serif" w:hAnsi="Times New Roman;serif"/>
                <w:b/>
                <w:color w:val="000000"/>
                <w:sz w:val="12"/>
              </w:rPr>
              <w:t>(1)</w:t>
            </w:r>
          </w:p>
        </w:tc>
      </w:tr>
      <w:tr>
        <w:trPr/>
        <w:tc>
          <w:tcPr>
            <w:tcW w:w="30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28, 2025 - January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25, 2026 - February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22, 2026 -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601,842 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602,070 </w:t>
            </w:r>
          </w:p>
        </w:tc>
        <w:tc>
          <w:tcPr>
            <w:tcW w:w="3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602,070 </w:t>
            </w:r>
          </w:p>
        </w:tc>
        <w:tc>
          <w:tcPr>
            <w:tcW w:w="5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27, 2022, our Board of Directors authorized a new stock repurchase program permitting repurchases of our outstanding shares not to exceed $2.2 billion in the aggregate, subject to any restrictions specified in the Credit Agreement and indentures governing the existing Subordinated and Secured Notes (referred to herein as the “existing stock repurchase program”), replacing the $650 million stock repurchase program. In November 2025, the Board of Directors authorized an additional $5.0 billion in share repurchases of common stock permissible under the Company’s existing stock repurchase program. There is no expiration date for the existing stock repurchase program.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26, 2026, Patrick Murphy, the Company's Co-Chief Operating Officer, modified and replaced an existing “Rule 10b5-1 trading arrangement” (as defined in Item 408 of Regulation S-K) for the sale of 11,270 shares of common stock issuable upon the exercise of vested options intended to satisfy the affirmative defense conditions of Rule 10b5-1(c) under the Exchange Act, which the modified Rule 10b5-1 trading arrangement begins on May 28, 2026 and terminates no later than May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413"/>
        <w:gridCol w:w="2143"/>
        <w:gridCol w:w="2150"/>
        <w:gridCol w:w="109"/>
        <w:gridCol w:w="109"/>
        <w:gridCol w:w="109"/>
        <w:gridCol w:w="602"/>
        <w:gridCol w:w="602"/>
        <w:gridCol w:w="856"/>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7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21tdg2026q210-q.htm">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Listing of 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21tdg2026q210-q.htm">
              <w:r>
                <w:rPr>
                  <w:rStyle w:val="InternetLink"/>
                  <w:rFonts w:ascii="Times New Roman;serif" w:hAnsi="Times New Roman;serif"/>
                  <w:b w:val="false"/>
                  <w:color w:val="0000FF"/>
                  <w:sz w:val="20"/>
                  <w:u w:val="single"/>
                </w:rPr>
                <w:t>Filed Herewith</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tdg2026q210-q.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Executive Officer of TransDigm Group Incorporated pursuant to Rule 13a-14(a) or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tdg2026q210-q.htm">
              <w:r>
                <w:rPr>
                  <w:rStyle w:val="InternetLink"/>
                  <w:rFonts w:ascii="Times New Roman;serif" w:hAnsi="Times New Roman;serif"/>
                  <w:b w:val="false"/>
                  <w:color w:val="0000FF"/>
                  <w:sz w:val="20"/>
                  <w:u w:val="single"/>
                </w:rPr>
                <w:t>Filed Herewith</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tdg2026q210-q.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Financial Officer of TransDigm Group Incorporated pursuant to Rule 13a-14(a) or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tdg2026q210-q.htm">
              <w:r>
                <w:rPr>
                  <w:rStyle w:val="InternetLink"/>
                  <w:rFonts w:ascii="Times New Roman;serif" w:hAnsi="Times New Roman;serif"/>
                  <w:b w:val="false"/>
                  <w:color w:val="0000FF"/>
                  <w:sz w:val="20"/>
                  <w:u w:val="single"/>
                </w:rPr>
                <w:t>Filed Herewith</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tdg2026q210-q.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Executive Officer of TransDigm Group Incorporated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tdg2026q210-q.htm">
              <w:r>
                <w:rPr>
                  <w:rStyle w:val="InternetLink"/>
                  <w:rFonts w:ascii="Times New Roman;serif" w:hAnsi="Times New Roman;serif"/>
                  <w:b w:val="false"/>
                  <w:color w:val="0000FF"/>
                  <w:sz w:val="20"/>
                  <w:u w:val="single"/>
                </w:rPr>
                <w:t>Furnished Herewith</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tdg2026q210-q.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Financial Officer of TransDigm Group Incorporated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tdg2026q210-q.htm">
              <w:r>
                <w:rPr>
                  <w:rStyle w:val="InternetLink"/>
                  <w:rFonts w:ascii="Times New Roman;serif" w:hAnsi="Times New Roman;serif"/>
                  <w:b w:val="false"/>
                  <w:color w:val="0000FF"/>
                  <w:sz w:val="20"/>
                  <w:u w:val="single"/>
                </w:rPr>
                <w:t>Furnished Herewith</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 and are contained within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d684201378d402fb95971bc296ed04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400" w:after="160"/>
        <w:jc w:val="left"/>
        <w:rPr>
          <w:rFonts w:ascii="Times New Roman;serif" w:hAnsi="Times New Roman;serif"/>
          <w:b/>
          <w:color w:val="000000"/>
          <w:sz w:val="20"/>
        </w:rPr>
      </w:pPr>
      <w:r>
        <w:rPr>
          <w:rFonts w:ascii="Times New Roman;serif" w:hAnsi="Times New Roman;serif"/>
          <w:b/>
          <w:color w:val="000000"/>
          <w:sz w:val="20"/>
        </w:rPr>
        <w:t>TRANSDIGM GROUP INCORPORATED</w:t>
      </w:r>
    </w:p>
    <w:tbl>
      <w:tblPr>
        <w:tblW w:w="7335" w:type="dxa"/>
        <w:jc w:val="left"/>
        <w:tblInd w:w="0" w:type="dxa"/>
        <w:tblLayout w:type="fixed"/>
        <w:tblCellMar>
          <w:top w:w="28" w:type="dxa"/>
          <w:left w:w="28" w:type="dxa"/>
          <w:bottom w:w="28" w:type="dxa"/>
          <w:right w:w="28" w:type="dxa"/>
        </w:tblCellMar>
      </w:tblPr>
      <w:tblGrid>
        <w:gridCol w:w="124"/>
        <w:gridCol w:w="109"/>
        <w:gridCol w:w="109"/>
        <w:gridCol w:w="554"/>
        <w:gridCol w:w="554"/>
        <w:gridCol w:w="556"/>
        <w:gridCol w:w="109"/>
        <w:gridCol w:w="109"/>
        <w:gridCol w:w="109"/>
        <w:gridCol w:w="1050"/>
        <w:gridCol w:w="1050"/>
        <w:gridCol w:w="1064"/>
        <w:gridCol w:w="109"/>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Sarah Wynne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Sarah Wynne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LISTING OF SUBSIDIARY GUARANTORS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series of senior subordinated and secured notes issued by TransDigm Inc., a wholly owned subsidiary of TransDigm Group Incorporated, are unconditionally guaranteed, on a joint and several basis, by TransDigm Group Incorporated and each of the subsidiaries listed below under “Subsidiary Guarantors.”</w:t>
      </w:r>
    </w:p>
    <w:tbl>
      <w:tblPr>
        <w:tblW w:w="6552" w:type="dxa"/>
        <w:jc w:val="left"/>
        <w:tblInd w:w="0" w:type="dxa"/>
        <w:tblLayout w:type="fixed"/>
        <w:tblCellMar>
          <w:top w:w="28" w:type="dxa"/>
          <w:left w:w="28" w:type="dxa"/>
          <w:bottom w:w="28" w:type="dxa"/>
          <w:right w:w="28" w:type="dxa"/>
        </w:tblCellMar>
      </w:tblPr>
      <w:tblGrid>
        <w:gridCol w:w="124"/>
        <w:gridCol w:w="109"/>
        <w:gridCol w:w="109"/>
        <w:gridCol w:w="1814"/>
        <w:gridCol w:w="1814"/>
        <w:gridCol w:w="2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6.750% senior secured notes due 2028 (“2028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4.625% senior subordinated notes due 2029 (“4.625% 2029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secured notes due 2029 (“2029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4.875% senior subordinated notes due 2029 (“4.875% 2029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6.875% senior secured notes due 2030 (“2030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7.125% senior secured notes due 2031 (“2031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6.625% senior secured notes due 2032 (“2032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6.000% senior secured notes due 2033 (“2033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subordinated notes due 2033 (“6.375% 2033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6.250% senior secured notes due 2034 (“2034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6.750% senior subordinated notes due 2034 (“6.750% 2034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6.125% senior subordinated notes due 2034 (“Initial 6.125% 2034 Notes”)</w:t>
            </w:r>
          </w:p>
        </w:tc>
      </w:tr>
    </w:tbl>
    <w:tbl>
      <w:tblPr>
        <w:tblW w:w="8033" w:type="dxa"/>
        <w:jc w:val="left"/>
        <w:tblInd w:w="0" w:type="dxa"/>
        <w:tblLayout w:type="fixed"/>
        <w:tblCellMar>
          <w:top w:w="28" w:type="dxa"/>
          <w:left w:w="28" w:type="dxa"/>
          <w:bottom w:w="28" w:type="dxa"/>
          <w:right w:w="28" w:type="dxa"/>
        </w:tblCellMar>
      </w:tblPr>
      <w:tblGrid>
        <w:gridCol w:w="124"/>
        <w:gridCol w:w="109"/>
        <w:gridCol w:w="109"/>
        <w:gridCol w:w="1529"/>
        <w:gridCol w:w="1529"/>
        <w:gridCol w:w="1532"/>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Street,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17111 Waterview Pkwy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Acme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Adams Rite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AeroControlex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Aerosonic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Acquisition,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NJ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Fuel Cell and Coated Fabrics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Global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Angus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Apical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Arkwin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TNO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Defense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Ashford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Auxitrol Weston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 Instruments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68" w:type="dxa"/>
        <w:jc w:val="left"/>
        <w:tblInd w:w="0" w:type="dxa"/>
        <w:tblLayout w:type="fixed"/>
        <w:tblCellMar>
          <w:top w:w="28" w:type="dxa"/>
          <w:left w:w="28" w:type="dxa"/>
          <w:bottom w:w="28" w:type="dxa"/>
          <w:right w:w="28" w:type="dxa"/>
        </w:tblCellMar>
      </w:tblPr>
      <w:tblGrid>
        <w:gridCol w:w="124"/>
        <w:gridCol w:w="109"/>
        <w:gridCol w:w="109"/>
        <w:gridCol w:w="1074"/>
        <w:gridCol w:w="1074"/>
        <w:gridCol w:w="107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Avionics Specialties,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AvtechTyee,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Beta Transformer Technology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Breeze-Eastern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Erie Aviation,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Bridport-Air Carrier,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Facilities,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ASE Portugal,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JETS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Technology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CDA InterCorp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CEF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Champion Aerospace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Defense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CMC Electronics Aurora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EDB Intermediate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Electron Device Business,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Aerospace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Buyer,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Helicopter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Intermediate,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TopCo,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Dukes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 OptX,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Electromech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Europe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International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SGIP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FPT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River Technology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HarcoSemco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18" w:type="dxa"/>
        <w:jc w:val="left"/>
        <w:tblInd w:w="0" w:type="dxa"/>
        <w:tblLayout w:type="fixed"/>
        <w:tblCellMar>
          <w:top w:w="28" w:type="dxa"/>
          <w:left w:w="28" w:type="dxa"/>
          <w:bottom w:w="28" w:type="dxa"/>
          <w:right w:w="28" w:type="dxa"/>
        </w:tblCellMar>
      </w:tblPr>
      <w:tblGrid>
        <w:gridCol w:w="124"/>
        <w:gridCol w:w="109"/>
        <w:gridCol w:w="109"/>
        <w:gridCol w:w="1224"/>
        <w:gridCol w:w="1224"/>
        <w:gridCol w:w="122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Hartwell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Hytek Finishes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Iceman Holdco,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ILC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In-Phase Technologies,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Janco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Johnson Liverpool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King Nutronics,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Kirkhill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Korry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Holding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Mexico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Technology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Lodestar JPE Merger Sub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Lodestar VSA Merger Sub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MarathonNorco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Mason Electric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DE,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Medtherm Labs,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Microwave Power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 Seattle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NMC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Aviation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Overseas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Norwich Aero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Offshore Helicopter Support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Oppenheimer Precision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Palomar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Pexco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PneuDraulics,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Schneller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Semco Instruments,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Sensor Concepts,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Shield Restraint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Simmonds Precision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Simplex Manufacturing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Oregon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88" w:type="dxa"/>
        <w:jc w:val="left"/>
        <w:tblInd w:w="0" w:type="dxa"/>
        <w:tblLayout w:type="fixed"/>
        <w:tblCellMar>
          <w:top w:w="28" w:type="dxa"/>
          <w:left w:w="28" w:type="dxa"/>
          <w:bottom w:w="28" w:type="dxa"/>
          <w:right w:w="28" w:type="dxa"/>
        </w:tblCellMar>
      </w:tblPr>
      <w:tblGrid>
        <w:gridCol w:w="124"/>
        <w:gridCol w:w="109"/>
        <w:gridCol w:w="109"/>
        <w:gridCol w:w="1014"/>
        <w:gridCol w:w="1014"/>
        <w:gridCol w:w="101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Skandia,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Skurka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Electronics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Symetrics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 Aerospace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Tactair Fluid Controls,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TDG ESL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TEAC Aerospace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Telair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TestVonics,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 Rotronics,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Transicoil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Whippany Actuation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Young &amp; Franklin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Michael Lisman,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TransDigm Group Incorporated;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tbl>
      <w:tblPr>
        <w:tblW w:w="3720" w:type="dxa"/>
        <w:jc w:val="right"/>
        <w:tblInd w:w="0" w:type="dxa"/>
        <w:tblLayout w:type="fixed"/>
        <w:tblCellMar>
          <w:top w:w="28" w:type="dxa"/>
          <w:left w:w="28" w:type="dxa"/>
          <w:bottom w:w="28" w:type="dxa"/>
          <w:right w:w="28" w:type="dxa"/>
        </w:tblCellMar>
      </w:tblPr>
      <w:tblGrid>
        <w:gridCol w:w="1190"/>
        <w:gridCol w:w="1043"/>
        <w:gridCol w:w="1487"/>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Lisman</w:t>
            </w:r>
          </w:p>
        </w:tc>
      </w:tr>
      <w:tr>
        <w:trPr/>
        <w:tc>
          <w:tcPr>
            <w:tcW w:w="3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Lisman</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Sarah Wynne,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TransDigm Group Incorporated;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lineRule="auto" w:line="288" w:before="0" w:after="0"/>
        <w:jc w:val="left"/>
        <w:rPr>
          <w:color w:val="000000"/>
        </w:rPr>
      </w:pPr>
      <w:r>
        <w:rPr>
          <w:color w:val="000000"/>
        </w:rPr>
        <w:t> </w:t>
      </w:r>
    </w:p>
    <w:tbl>
      <w:tblPr>
        <w:tblW w:w="2520" w:type="dxa"/>
        <w:jc w:val="right"/>
        <w:tblInd w:w="0" w:type="dxa"/>
        <w:tblLayout w:type="fixed"/>
        <w:tblCellMar>
          <w:top w:w="28" w:type="dxa"/>
          <w:left w:w="28" w:type="dxa"/>
          <w:bottom w:w="28" w:type="dxa"/>
          <w:right w:w="28" w:type="dxa"/>
        </w:tblCellMar>
      </w:tblPr>
      <w:tblGrid>
        <w:gridCol w:w="805"/>
        <w:gridCol w:w="708"/>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2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Sarah Wynne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TransDigm Group Incorporated (the “Company”) for the quarter ended March 28, 2026 as filed with the Securities and Exchange Commission on the date hereof (the “Report”), I, Michael Lisman, President and Chief Executive Officer (Principal Executive Officer), certify, pursuant to 18 U.S.C. Section 1350, as adopted pursuant to Section 906 of the Sarbanes-Oxley Act of 2002, that, to my knowledge: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and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indicated and results of operations of the Company for the periods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lineRule="auto" w:line="288" w:before="0" w:after="0"/>
        <w:jc w:val="left"/>
        <w:rPr>
          <w:color w:val="000000"/>
        </w:rPr>
      </w:pPr>
      <w:r>
        <w:rPr>
          <w:color w:val="000000"/>
        </w:rPr>
        <w:t> </w:t>
      </w:r>
    </w:p>
    <w:tbl>
      <w:tblPr>
        <w:tblW w:w="3720" w:type="dxa"/>
        <w:jc w:val="right"/>
        <w:tblInd w:w="0" w:type="dxa"/>
        <w:tblLayout w:type="fixed"/>
        <w:tblCellMar>
          <w:top w:w="28" w:type="dxa"/>
          <w:left w:w="28" w:type="dxa"/>
          <w:bottom w:w="28" w:type="dxa"/>
          <w:right w:w="28" w:type="dxa"/>
        </w:tblCellMar>
      </w:tblPr>
      <w:tblGrid>
        <w:gridCol w:w="1190"/>
        <w:gridCol w:w="1043"/>
        <w:gridCol w:w="1487"/>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Lisman</w:t>
            </w:r>
          </w:p>
        </w:tc>
      </w:tr>
      <w:tr>
        <w:trPr/>
        <w:tc>
          <w:tcPr>
            <w:tcW w:w="3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Lisman</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TransDigm Group Incorporated (the “Company”) for the quarter ended March 28, 2026 as filed with the Securities and Exchange Commission on the date hereof (the “Report”), I, Sarah Wynne, Chief Financial Officer (Principal Financial Officer), certify, pursuant to 18 U.S.C. Section 1350, as adopted pursuant to Section 906 of the Sarbanes-Oxley Act of 2002, that, to my knowledge: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and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indicated and results of operations of the Company for the periods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lineRule="auto" w:line="288" w:before="0" w:after="0"/>
        <w:jc w:val="left"/>
        <w:rPr>
          <w:color w:val="000000"/>
        </w:rPr>
      </w:pPr>
      <w:r>
        <w:rPr>
          <w:color w:val="000000"/>
        </w:rPr>
        <w:t> </w:t>
      </w:r>
    </w:p>
    <w:tbl>
      <w:tblPr>
        <w:tblW w:w="2520" w:type="dxa"/>
        <w:jc w:val="right"/>
        <w:tblInd w:w="0" w:type="dxa"/>
        <w:tblLayout w:type="fixed"/>
        <w:tblCellMar>
          <w:top w:w="28" w:type="dxa"/>
          <w:left w:w="28" w:type="dxa"/>
          <w:bottom w:w="28" w:type="dxa"/>
          <w:right w:w="28" w:type="dxa"/>
        </w:tblCellMar>
      </w:tblPr>
      <w:tblGrid>
        <w:gridCol w:w="805"/>
        <w:gridCol w:w="708"/>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2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Sarah Wynne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24643</Words>
  <Characters>135555</Characters>
  <CharactersWithSpaces>158290</CharactersWithSpaces>
  <Paragraphs>3845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